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2C" w:rsidRPr="00B30EDF" w:rsidRDefault="00114E2C" w:rsidP="00114E2C">
      <w:pPr>
        <w:ind w:left="720"/>
        <w:contextualSpacing/>
        <w:jc w:val="center"/>
        <w:rPr>
          <w:rFonts w:ascii="Times New Roman" w:eastAsiaTheme="minorHAnsi" w:hAnsi="Times New Roman"/>
          <w:sz w:val="32"/>
          <w:szCs w:val="32"/>
        </w:rPr>
      </w:pPr>
      <w:r w:rsidRPr="00B30EDF">
        <w:rPr>
          <w:rFonts w:ascii="Times New Roman" w:eastAsiaTheme="minorHAnsi" w:hAnsi="Times New Roman"/>
          <w:sz w:val="32"/>
          <w:szCs w:val="32"/>
        </w:rPr>
        <w:t xml:space="preserve">Периодическое печатное издание Совета депутатов и администрации Целинного сельсовета </w:t>
      </w:r>
      <w:proofErr w:type="spellStart"/>
      <w:r w:rsidRPr="00B30EDF">
        <w:rPr>
          <w:rFonts w:ascii="Times New Roman" w:eastAsiaTheme="minorHAnsi" w:hAnsi="Times New Roman"/>
          <w:sz w:val="32"/>
          <w:szCs w:val="32"/>
        </w:rPr>
        <w:t>Коченевского</w:t>
      </w:r>
      <w:proofErr w:type="spellEnd"/>
      <w:r w:rsidRPr="00B30EDF">
        <w:rPr>
          <w:rFonts w:ascii="Times New Roman" w:eastAsiaTheme="minorHAnsi" w:hAnsi="Times New Roman"/>
          <w:sz w:val="32"/>
          <w:szCs w:val="32"/>
        </w:rPr>
        <w:t xml:space="preserve"> района Новосибирской области</w:t>
      </w:r>
    </w:p>
    <w:p w:rsidR="00114E2C" w:rsidRDefault="00114E2C" w:rsidP="00114E2C">
      <w:pPr>
        <w:spacing w:after="0"/>
        <w:jc w:val="center"/>
        <w:rPr>
          <w:rFonts w:ascii="Times New Roman" w:eastAsiaTheme="minorHAnsi" w:hAnsi="Times New Roman"/>
          <w:b/>
          <w:sz w:val="72"/>
          <w:szCs w:val="72"/>
        </w:rPr>
      </w:pPr>
      <w:r w:rsidRPr="00B30EDF">
        <w:rPr>
          <w:rFonts w:ascii="Times New Roman" w:eastAsiaTheme="minorHAnsi" w:hAnsi="Times New Roman"/>
          <w:b/>
          <w:sz w:val="72"/>
          <w:szCs w:val="72"/>
        </w:rPr>
        <w:t>ВЕСТНИК</w:t>
      </w:r>
    </w:p>
    <w:p w:rsidR="00114E2C" w:rsidRPr="00CA0A96" w:rsidRDefault="00114E2C" w:rsidP="00114E2C">
      <w:pPr>
        <w:spacing w:after="0"/>
        <w:jc w:val="center"/>
        <w:rPr>
          <w:rFonts w:ascii="Times New Roman" w:eastAsiaTheme="minorHAnsi" w:hAnsi="Times New Roman"/>
          <w:b/>
          <w:sz w:val="72"/>
          <w:szCs w:val="72"/>
        </w:rPr>
      </w:pPr>
      <w:r>
        <w:rPr>
          <w:rFonts w:ascii="Times New Roman" w:eastAsiaTheme="minorHAnsi" w:hAnsi="Times New Roman"/>
          <w:sz w:val="28"/>
          <w:szCs w:val="28"/>
        </w:rPr>
        <w:t xml:space="preserve">№ </w:t>
      </w:r>
      <w:r w:rsidR="00E261A0">
        <w:rPr>
          <w:rFonts w:ascii="Times New Roman" w:eastAsiaTheme="minorHAnsi" w:hAnsi="Times New Roman"/>
          <w:sz w:val="28"/>
          <w:szCs w:val="28"/>
        </w:rPr>
        <w:t>20</w:t>
      </w:r>
      <w:r w:rsidRPr="00B30EDF">
        <w:rPr>
          <w:rFonts w:ascii="Times New Roman" w:eastAsiaTheme="minorHAnsi" w:hAnsi="Times New Roman"/>
          <w:sz w:val="28"/>
          <w:szCs w:val="28"/>
        </w:rPr>
        <w:t xml:space="preserve"> о</w:t>
      </w:r>
      <w:r>
        <w:rPr>
          <w:rFonts w:ascii="Times New Roman" w:eastAsiaTheme="minorHAnsi" w:hAnsi="Times New Roman"/>
          <w:sz w:val="28"/>
          <w:szCs w:val="28"/>
        </w:rPr>
        <w:t xml:space="preserve">т </w:t>
      </w:r>
      <w:r w:rsidR="00E261A0">
        <w:rPr>
          <w:rFonts w:ascii="Times New Roman" w:eastAsiaTheme="minorHAnsi" w:hAnsi="Times New Roman"/>
          <w:sz w:val="28"/>
          <w:szCs w:val="28"/>
        </w:rPr>
        <w:t>22.12.2023</w:t>
      </w:r>
    </w:p>
    <w:p w:rsidR="00114E2C" w:rsidRDefault="00114E2C" w:rsidP="00114E2C">
      <w:pPr>
        <w:ind w:left="720"/>
        <w:contextualSpacing/>
        <w:jc w:val="center"/>
        <w:rPr>
          <w:rFonts w:ascii="Times New Roman" w:eastAsiaTheme="minorHAnsi" w:hAnsi="Times New Roman"/>
          <w:sz w:val="28"/>
          <w:szCs w:val="28"/>
        </w:rPr>
      </w:pPr>
      <w:r w:rsidRPr="00B30EDF">
        <w:rPr>
          <w:rFonts w:ascii="Times New Roman" w:eastAsiaTheme="minorHAnsi" w:hAnsi="Times New Roman"/>
          <w:sz w:val="32"/>
          <w:szCs w:val="32"/>
        </w:rPr>
        <w:t>В номере</w:t>
      </w:r>
      <w:r w:rsidRPr="00B30EDF">
        <w:rPr>
          <w:rFonts w:ascii="Times New Roman" w:eastAsiaTheme="minorHAnsi" w:hAnsi="Times New Roman"/>
          <w:sz w:val="28"/>
          <w:szCs w:val="28"/>
        </w:rPr>
        <w:t>:</w:t>
      </w:r>
    </w:p>
    <w:p w:rsidR="00114E2C" w:rsidRPr="00114E2C" w:rsidRDefault="00E261A0" w:rsidP="00E261A0">
      <w:pPr>
        <w:spacing w:after="160" w:line="240" w:lineRule="auto"/>
        <w:jc w:val="center"/>
        <w:rPr>
          <w:rFonts w:ascii="Times New Roman" w:eastAsia="Times New Roman" w:hAnsi="Times New Roman"/>
          <w:b/>
          <w:bCs/>
          <w:sz w:val="24"/>
          <w:szCs w:val="24"/>
          <w:lang w:eastAsia="ru-RU"/>
        </w:rPr>
      </w:pPr>
      <w:r>
        <w:rPr>
          <w:rFonts w:ascii="Times New Roman" w:hAnsi="Times New Roman"/>
          <w:b/>
          <w:sz w:val="28"/>
          <w:szCs w:val="28"/>
        </w:rPr>
        <w:t>Прокуратура разъясняет:</w:t>
      </w:r>
    </w:p>
    <w:p w:rsidR="00E261A0" w:rsidRPr="00E261A0" w:rsidRDefault="00E261A0" w:rsidP="00E261A0">
      <w:pPr>
        <w:spacing w:after="0" w:line="240" w:lineRule="auto"/>
        <w:jc w:val="center"/>
        <w:rPr>
          <w:rFonts w:ascii="Times New Roman" w:eastAsia="Times New Roman" w:hAnsi="Times New Roman"/>
          <w:b/>
          <w:sz w:val="24"/>
          <w:szCs w:val="24"/>
          <w:lang w:eastAsia="ru-RU"/>
        </w:rPr>
      </w:pPr>
      <w:r w:rsidRPr="00E261A0">
        <w:rPr>
          <w:rFonts w:ascii="Times New Roman" w:eastAsia="Times New Roman" w:hAnsi="Times New Roman"/>
          <w:b/>
          <w:sz w:val="24"/>
          <w:szCs w:val="24"/>
          <w:lang w:eastAsia="ru-RU"/>
        </w:rPr>
        <w:t>Ответственность за неуважение к суду</w:t>
      </w: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Статьей 297 УК РФ предусмотрена уголовная ответственность за неуважение к суду, выразившееся в оскорблении участников судебного разбирательства, в том числе оскорблении судьи, присяжного заседателя или иного лица, участвующего в отправлении правосудия.</w:t>
      </w:r>
    </w:p>
    <w:p w:rsidR="00E261A0" w:rsidRPr="00E261A0" w:rsidRDefault="00E261A0" w:rsidP="00E261A0">
      <w:pPr>
        <w:spacing w:after="0" w:line="240" w:lineRule="auto"/>
        <w:jc w:val="both"/>
        <w:rPr>
          <w:rFonts w:ascii="Times New Roman" w:eastAsia="Times New Roman" w:hAnsi="Times New Roman"/>
          <w:sz w:val="20"/>
          <w:szCs w:val="20"/>
          <w:lang w:eastAsia="ru-RU"/>
        </w:rPr>
      </w:pP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Согласно положениям указанной нормы уголовного закона, под оскорблением судьи и иного лица, участвующего в рассмотрении дела, признаются вербальные невербальные действия, выражаемые в неприличной форме.</w:t>
      </w:r>
    </w:p>
    <w:p w:rsidR="00E261A0" w:rsidRPr="00E261A0" w:rsidRDefault="00E261A0" w:rsidP="00E261A0">
      <w:pPr>
        <w:spacing w:after="0" w:line="240" w:lineRule="auto"/>
        <w:jc w:val="both"/>
        <w:rPr>
          <w:rFonts w:ascii="Times New Roman" w:eastAsia="Times New Roman" w:hAnsi="Times New Roman"/>
          <w:sz w:val="20"/>
          <w:szCs w:val="20"/>
          <w:lang w:eastAsia="ru-RU"/>
        </w:rPr>
      </w:pP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 xml:space="preserve">К ним могут быть </w:t>
      </w:r>
      <w:proofErr w:type="gramStart"/>
      <w:r w:rsidRPr="00E261A0">
        <w:rPr>
          <w:rFonts w:ascii="Times New Roman" w:eastAsia="Times New Roman" w:hAnsi="Times New Roman"/>
          <w:sz w:val="20"/>
          <w:szCs w:val="20"/>
          <w:lang w:eastAsia="ru-RU"/>
        </w:rPr>
        <w:t>отнесены</w:t>
      </w:r>
      <w:proofErr w:type="gramEnd"/>
      <w:r w:rsidRPr="00E261A0">
        <w:rPr>
          <w:rFonts w:ascii="Times New Roman" w:eastAsia="Times New Roman" w:hAnsi="Times New Roman"/>
          <w:sz w:val="20"/>
          <w:szCs w:val="20"/>
          <w:lang w:eastAsia="ru-RU"/>
        </w:rPr>
        <w:t>:</w:t>
      </w: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Tahoma"/>
          <w:sz w:val="20"/>
          <w:szCs w:val="20"/>
          <w:lang w:eastAsia="ru-RU"/>
        </w:rPr>
        <w:t>⁃</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неприличные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высказывания</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действия</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жесты</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направленные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на</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унижение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чести</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и</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достоинства</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участников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судебного</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разбирательства</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а</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также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подрыв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авторитета</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судебной</w:t>
      </w:r>
      <w:r w:rsidRPr="00E261A0">
        <w:rPr>
          <w:rFonts w:ascii="Times New Roman" w:eastAsia="Times New Roman" w:hAnsi="Times New Roman"/>
          <w:sz w:val="20"/>
          <w:szCs w:val="20"/>
          <w:lang w:eastAsia="ru-RU"/>
        </w:rPr>
        <w:t xml:space="preserve"> власти;</w:t>
      </w: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Tahoma"/>
          <w:sz w:val="20"/>
          <w:szCs w:val="20"/>
          <w:lang w:eastAsia="ru-RU"/>
        </w:rPr>
        <w:t>⁃</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оскорбления</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выраженные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устной</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форме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том</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числе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с</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использованием</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нецензурной</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лексики</w:t>
      </w:r>
      <w:r w:rsidRPr="00E261A0">
        <w:rPr>
          <w:rFonts w:ascii="Times New Roman" w:eastAsia="Times New Roman" w:hAnsi="Times New Roman"/>
          <w:sz w:val="20"/>
          <w:szCs w:val="20"/>
          <w:lang w:eastAsia="ru-RU"/>
        </w:rPr>
        <w:t>;</w:t>
      </w: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Tahoma"/>
          <w:sz w:val="20"/>
          <w:szCs w:val="20"/>
          <w:lang w:eastAsia="ru-RU"/>
        </w:rPr>
        <w:t>⁃</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письменной</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форме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записки</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письма</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иные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документы</w:t>
      </w:r>
      <w:r w:rsidRPr="00E261A0">
        <w:rPr>
          <w:rFonts w:ascii="Times New Roman" w:eastAsia="Times New Roman" w:hAnsi="Times New Roman"/>
          <w:sz w:val="20"/>
          <w:szCs w:val="20"/>
          <w:lang w:eastAsia="ru-RU"/>
        </w:rPr>
        <w:t>);</w:t>
      </w: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Tahoma"/>
          <w:sz w:val="20"/>
          <w:szCs w:val="20"/>
          <w:lang w:eastAsia="ru-RU"/>
        </w:rPr>
        <w:t>⁃</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виде</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оскорбительных</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рисунков</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и</w:t>
      </w:r>
      <w:r w:rsidRPr="00E261A0">
        <w:rPr>
          <w:rFonts w:ascii="Times New Roman" w:eastAsia="Times New Roman" w:hAnsi="Times New Roman"/>
          <w:sz w:val="20"/>
          <w:szCs w:val="20"/>
          <w:lang w:eastAsia="ru-RU"/>
        </w:rPr>
        <w:t xml:space="preserve"> </w:t>
      </w:r>
      <w:r w:rsidRPr="00E261A0">
        <w:rPr>
          <w:rFonts w:ascii="Times New Roman" w:eastAsia="Times New Roman" w:hAnsi="Times New Roman" w:cs="Calibri"/>
          <w:sz w:val="20"/>
          <w:szCs w:val="20"/>
          <w:lang w:eastAsia="ru-RU"/>
        </w:rPr>
        <w:t>др</w:t>
      </w:r>
      <w:r w:rsidRPr="00E261A0">
        <w:rPr>
          <w:rFonts w:ascii="Times New Roman" w:eastAsia="Times New Roman" w:hAnsi="Times New Roman"/>
          <w:sz w:val="20"/>
          <w:szCs w:val="20"/>
          <w:lang w:eastAsia="ru-RU"/>
        </w:rPr>
        <w:t>.</w:t>
      </w:r>
    </w:p>
    <w:p w:rsidR="00E261A0" w:rsidRPr="00E261A0" w:rsidRDefault="00E261A0" w:rsidP="00E261A0">
      <w:pPr>
        <w:spacing w:after="0" w:line="240" w:lineRule="auto"/>
        <w:jc w:val="both"/>
        <w:rPr>
          <w:rFonts w:ascii="Times New Roman" w:eastAsia="Times New Roman" w:hAnsi="Times New Roman"/>
          <w:sz w:val="20"/>
          <w:szCs w:val="20"/>
          <w:lang w:eastAsia="ru-RU"/>
        </w:rPr>
      </w:pPr>
      <w:r w:rsidRPr="00E261A0">
        <w:rPr>
          <w:rFonts w:ascii="Times New Roman" w:eastAsia="Times New Roman" w:hAnsi="Times New Roman"/>
          <w:sz w:val="20"/>
          <w:szCs w:val="20"/>
          <w:lang w:eastAsia="ru-RU"/>
        </w:rPr>
        <w:t xml:space="preserve"> </w:t>
      </w:r>
    </w:p>
    <w:p w:rsidR="00114E2C" w:rsidRPr="00E261A0" w:rsidRDefault="00E261A0" w:rsidP="00E261A0">
      <w:pPr>
        <w:spacing w:after="0" w:line="240" w:lineRule="auto"/>
        <w:jc w:val="center"/>
        <w:rPr>
          <w:rFonts w:ascii="Segoe UI" w:eastAsia="Times New Roman" w:hAnsi="Segoe UI" w:cs="Segoe UI"/>
          <w:b/>
          <w:sz w:val="24"/>
          <w:szCs w:val="24"/>
          <w:lang w:eastAsia="ru-RU"/>
        </w:rPr>
      </w:pPr>
      <w:r w:rsidRPr="00E261A0">
        <w:rPr>
          <w:rFonts w:ascii="Times New Roman" w:eastAsia="Times New Roman" w:hAnsi="Times New Roman"/>
          <w:sz w:val="20"/>
          <w:szCs w:val="20"/>
          <w:lang w:eastAsia="ru-RU"/>
        </w:rPr>
        <w:t xml:space="preserve">Уголовная ответственность по ст. 297 УК предусматривает наказание в виде штрафа или в размере заработной платы или иного дохода осужденного либо обязательных </w:t>
      </w:r>
      <w:proofErr w:type="gramStart"/>
      <w:r w:rsidRPr="00E261A0">
        <w:rPr>
          <w:rFonts w:ascii="Times New Roman" w:eastAsia="Times New Roman" w:hAnsi="Times New Roman"/>
          <w:sz w:val="20"/>
          <w:szCs w:val="20"/>
          <w:lang w:eastAsia="ru-RU"/>
        </w:rPr>
        <w:t>работ</w:t>
      </w:r>
      <w:proofErr w:type="gramEnd"/>
      <w:r w:rsidRPr="00E261A0">
        <w:rPr>
          <w:rFonts w:ascii="Times New Roman" w:eastAsia="Times New Roman" w:hAnsi="Times New Roman"/>
          <w:sz w:val="20"/>
          <w:szCs w:val="20"/>
          <w:lang w:eastAsia="ru-RU"/>
        </w:rPr>
        <w:t xml:space="preserve"> либо исправительных работ либо ареста на срок до четырех месяцев (ч. 1) до 6 мес. (по ч.2).</w:t>
      </w:r>
      <w:r w:rsidRPr="00E261A0">
        <w:rPr>
          <w:rFonts w:ascii="Times New Roman" w:eastAsia="Times New Roman" w:hAnsi="Times New Roman"/>
          <w:sz w:val="20"/>
          <w:szCs w:val="20"/>
          <w:lang w:eastAsia="ru-RU"/>
        </w:rPr>
        <w:cr/>
      </w:r>
    </w:p>
    <w:p w:rsid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 xml:space="preserve">Изменен порядок трудоустройства несовершеннолетних в возрасте </w:t>
      </w:r>
    </w:p>
    <w:p w:rsidR="00E261A0" w:rsidRP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от 14 до 18 лет</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Федеральным Законом от 13.06.2023 № 259-ФЗ внесены изменения в порядок трудоустройства несовершеннолетних в возрасте от 14 до 18 лет.</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w:t>
      </w:r>
      <w:proofErr w:type="gramStart"/>
      <w:r w:rsidRPr="00E261A0">
        <w:rPr>
          <w:rFonts w:ascii="Times New Roman" w:hAnsi="Times New Roman"/>
          <w:sz w:val="20"/>
          <w:szCs w:val="20"/>
        </w:rPr>
        <w:t>достаточно письменного</w:t>
      </w:r>
      <w:proofErr w:type="gramEnd"/>
      <w:r w:rsidRPr="00E261A0">
        <w:rPr>
          <w:rFonts w:ascii="Times New Roman" w:hAnsi="Times New Roman"/>
          <w:sz w:val="20"/>
          <w:szCs w:val="20"/>
        </w:rPr>
        <w:t xml:space="preserve"> согласия одного из родителей (попечителя).</w:t>
      </w:r>
    </w:p>
    <w:p w:rsidR="00114E2C"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При этом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rsidR="00114E2C" w:rsidRPr="00E261A0" w:rsidRDefault="00114E2C" w:rsidP="00E261A0">
      <w:pPr>
        <w:spacing w:after="0" w:line="240" w:lineRule="auto"/>
        <w:ind w:firstLine="709"/>
        <w:jc w:val="center"/>
        <w:rPr>
          <w:rFonts w:ascii="Times New Roman" w:hAnsi="Times New Roman"/>
          <w:b/>
          <w:sz w:val="24"/>
          <w:szCs w:val="24"/>
        </w:rPr>
      </w:pPr>
    </w:p>
    <w:p w:rsidR="00E261A0" w:rsidRP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О запрете выращивать отдельные виды растений</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На территории Российской Федерации запрещено выращивать </w:t>
      </w:r>
      <w:proofErr w:type="gramStart"/>
      <w:r w:rsidRPr="00E261A0">
        <w:rPr>
          <w:rFonts w:ascii="Times New Roman" w:hAnsi="Times New Roman"/>
          <w:sz w:val="20"/>
          <w:szCs w:val="20"/>
        </w:rPr>
        <w:t>растения</w:t>
      </w:r>
      <w:proofErr w:type="gramEnd"/>
      <w:r w:rsidRPr="00E261A0">
        <w:rPr>
          <w:rFonts w:ascii="Times New Roman" w:hAnsi="Times New Roman"/>
          <w:sz w:val="20"/>
          <w:szCs w:val="20"/>
        </w:rPr>
        <w:t xml:space="preserve"> содержащие наркотические средства, психотропные вещества либо их </w:t>
      </w:r>
      <w:proofErr w:type="spellStart"/>
      <w:r w:rsidRPr="00E261A0">
        <w:rPr>
          <w:rFonts w:ascii="Times New Roman" w:hAnsi="Times New Roman"/>
          <w:sz w:val="20"/>
          <w:szCs w:val="20"/>
        </w:rPr>
        <w:t>прекурсоры</w:t>
      </w:r>
      <w:proofErr w:type="spellEnd"/>
      <w:r w:rsidRPr="00E261A0">
        <w:rPr>
          <w:rFonts w:ascii="Times New Roman" w:hAnsi="Times New Roman"/>
          <w:sz w:val="20"/>
          <w:szCs w:val="20"/>
        </w:rPr>
        <w:t xml:space="preserve">. Перечень таких растений, подлежащих контролю, утвержден Постановлением Правительства РФ от 27.11.2010 № 934. </w:t>
      </w:r>
      <w:proofErr w:type="gramStart"/>
      <w:r w:rsidRPr="00E261A0">
        <w:rPr>
          <w:rFonts w:ascii="Times New Roman" w:hAnsi="Times New Roman"/>
          <w:sz w:val="20"/>
          <w:szCs w:val="20"/>
        </w:rPr>
        <w:t xml:space="preserve">В их число включены: голубой лотос, мак снотворный, шалфей предсказательный, </w:t>
      </w:r>
      <w:proofErr w:type="spellStart"/>
      <w:r w:rsidRPr="00E261A0">
        <w:rPr>
          <w:rFonts w:ascii="Times New Roman" w:hAnsi="Times New Roman"/>
          <w:sz w:val="20"/>
          <w:szCs w:val="20"/>
        </w:rPr>
        <w:t>ибога</w:t>
      </w:r>
      <w:proofErr w:type="spellEnd"/>
      <w:r w:rsidRPr="00E261A0">
        <w:rPr>
          <w:rFonts w:ascii="Times New Roman" w:hAnsi="Times New Roman"/>
          <w:sz w:val="20"/>
          <w:szCs w:val="20"/>
        </w:rPr>
        <w:t xml:space="preserve">, кат, конопля, роза гавайская, эфедра, грибы любого вида, содержащие </w:t>
      </w:r>
      <w:proofErr w:type="spellStart"/>
      <w:r w:rsidRPr="00E261A0">
        <w:rPr>
          <w:rFonts w:ascii="Times New Roman" w:hAnsi="Times New Roman"/>
          <w:sz w:val="20"/>
          <w:szCs w:val="20"/>
        </w:rPr>
        <w:t>псилоцин</w:t>
      </w:r>
      <w:proofErr w:type="spellEnd"/>
      <w:r w:rsidRPr="00E261A0">
        <w:rPr>
          <w:rFonts w:ascii="Times New Roman" w:hAnsi="Times New Roman"/>
          <w:sz w:val="20"/>
          <w:szCs w:val="20"/>
        </w:rPr>
        <w:t xml:space="preserve"> и др.</w:t>
      </w:r>
      <w:proofErr w:type="gramEnd"/>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Незаконное культивирование в крупном размере и особо крупном размере растений, содержащих наркотические средства или психотропные вещества, либо их </w:t>
      </w:r>
      <w:proofErr w:type="spellStart"/>
      <w:r w:rsidRPr="00E261A0">
        <w:rPr>
          <w:rFonts w:ascii="Times New Roman" w:hAnsi="Times New Roman"/>
          <w:sz w:val="20"/>
          <w:szCs w:val="20"/>
        </w:rPr>
        <w:t>прекурсоры</w:t>
      </w:r>
      <w:proofErr w:type="spellEnd"/>
      <w:r w:rsidRPr="00E261A0">
        <w:rPr>
          <w:rFonts w:ascii="Times New Roman" w:hAnsi="Times New Roman"/>
          <w:sz w:val="20"/>
          <w:szCs w:val="20"/>
        </w:rPr>
        <w:t xml:space="preserve"> влечет уголовную ответственность по ст. 231 УК РФ. </w:t>
      </w:r>
      <w:proofErr w:type="gramStart"/>
      <w:r w:rsidRPr="00E261A0">
        <w:rPr>
          <w:rFonts w:ascii="Times New Roman" w:hAnsi="Times New Roman"/>
          <w:sz w:val="20"/>
          <w:szCs w:val="20"/>
        </w:rPr>
        <w:t>Наказание предусмотрено в виде штрафа в размере до 300 тысяч рублей или в размере заработной платы или иного дохода осужденного за период до 2 лет, либо обязательными работами на срок до 480 часов, либо ограничением свободы на срок до 2 лет, либо лишением свободы на срок до 8 лет с возможным ограничением свободы на срок до 2 лет.</w:t>
      </w:r>
      <w:proofErr w:type="gramEnd"/>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E261A0">
        <w:rPr>
          <w:rFonts w:ascii="Times New Roman" w:hAnsi="Times New Roman"/>
          <w:sz w:val="20"/>
          <w:szCs w:val="20"/>
        </w:rPr>
        <w:t>прекурсоры</w:t>
      </w:r>
      <w:proofErr w:type="spellEnd"/>
      <w:r w:rsidRPr="00E261A0">
        <w:rPr>
          <w:rFonts w:ascii="Times New Roman" w:hAnsi="Times New Roman"/>
          <w:sz w:val="20"/>
          <w:szCs w:val="20"/>
        </w:rPr>
        <w:t xml:space="preserve">, утверждены Правительством Российской Федерации. К примеру, при культивировании конопли крупным признается культивирование от 20 </w:t>
      </w:r>
      <w:r w:rsidRPr="00E261A0">
        <w:rPr>
          <w:rFonts w:ascii="Times New Roman" w:hAnsi="Times New Roman"/>
          <w:sz w:val="20"/>
          <w:szCs w:val="20"/>
        </w:rPr>
        <w:lastRenderedPageBreak/>
        <w:t xml:space="preserve">растений, особо крупным - от 330 растений, мака снотворного и других видов мака соответственно от 10 и от 200 растений. Виды кактуса, содержащие </w:t>
      </w:r>
      <w:proofErr w:type="spellStart"/>
      <w:r w:rsidRPr="00E261A0">
        <w:rPr>
          <w:rFonts w:ascii="Times New Roman" w:hAnsi="Times New Roman"/>
          <w:sz w:val="20"/>
          <w:szCs w:val="20"/>
        </w:rPr>
        <w:t>мескалин</w:t>
      </w:r>
      <w:proofErr w:type="spellEnd"/>
      <w:r w:rsidRPr="00E261A0">
        <w:rPr>
          <w:rFonts w:ascii="Times New Roman" w:hAnsi="Times New Roman"/>
          <w:sz w:val="20"/>
          <w:szCs w:val="20"/>
        </w:rPr>
        <w:t xml:space="preserve">, (независимо от фазы развития растения) при наличии на земельном участке в </w:t>
      </w:r>
      <w:proofErr w:type="gramStart"/>
      <w:r w:rsidRPr="00E261A0">
        <w:rPr>
          <w:rFonts w:ascii="Times New Roman" w:hAnsi="Times New Roman"/>
          <w:sz w:val="20"/>
          <w:szCs w:val="20"/>
        </w:rPr>
        <w:t>количестве, превышающем 2 штуки</w:t>
      </w:r>
      <w:proofErr w:type="gramEnd"/>
      <w:r w:rsidRPr="00E261A0">
        <w:rPr>
          <w:rFonts w:ascii="Times New Roman" w:hAnsi="Times New Roman"/>
          <w:sz w:val="20"/>
          <w:szCs w:val="20"/>
        </w:rPr>
        <w:t xml:space="preserve"> будет считаться в крупном размере и от 10 в особо крупном размере, кокаиновый куст - соответственно от 4 растений и от 20 растений.</w:t>
      </w:r>
    </w:p>
    <w:p w:rsid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При наличии на участке запрещенных растений в меньшем количестве возможно привлечение к административной ответственности. Так, по ст. 10.5.1 КоАП РФ незаконное культивирование </w:t>
      </w:r>
      <w:proofErr w:type="gramStart"/>
      <w:r w:rsidRPr="00E261A0">
        <w:rPr>
          <w:rFonts w:ascii="Times New Roman" w:hAnsi="Times New Roman"/>
          <w:sz w:val="20"/>
          <w:szCs w:val="20"/>
        </w:rPr>
        <w:t xml:space="preserve">растений, содержащих наркотические средства или психотропные вещества либо их </w:t>
      </w:r>
      <w:proofErr w:type="spellStart"/>
      <w:r w:rsidRPr="00E261A0">
        <w:rPr>
          <w:rFonts w:ascii="Times New Roman" w:hAnsi="Times New Roman"/>
          <w:sz w:val="20"/>
          <w:szCs w:val="20"/>
        </w:rPr>
        <w:t>прекурсоры</w:t>
      </w:r>
      <w:proofErr w:type="spellEnd"/>
      <w:r w:rsidRPr="00E261A0">
        <w:rPr>
          <w:rFonts w:ascii="Times New Roman" w:hAnsi="Times New Roman"/>
          <w:sz w:val="20"/>
          <w:szCs w:val="20"/>
        </w:rPr>
        <w:t xml:space="preserve"> влечет</w:t>
      </w:r>
      <w:proofErr w:type="gramEnd"/>
      <w:r w:rsidRPr="00E261A0">
        <w:rPr>
          <w:rFonts w:ascii="Times New Roman" w:hAnsi="Times New Roman"/>
          <w:sz w:val="20"/>
          <w:szCs w:val="20"/>
        </w:rPr>
        <w:t xml:space="preserve"> наложение административного штрафа: на граждан в размере от 3 тысяч до 5 тысяч рублей или административный арест до 15 суток, на юридических лиц - от 100 тысяч до 300 тысяч рублей.</w:t>
      </w:r>
    </w:p>
    <w:p w:rsidR="00E261A0" w:rsidRPr="00E261A0" w:rsidRDefault="00E261A0" w:rsidP="00E261A0">
      <w:pPr>
        <w:spacing w:after="0" w:line="240" w:lineRule="auto"/>
        <w:ind w:firstLine="709"/>
        <w:jc w:val="both"/>
        <w:rPr>
          <w:rFonts w:ascii="Times New Roman" w:hAnsi="Times New Roman"/>
          <w:sz w:val="20"/>
          <w:szCs w:val="20"/>
        </w:rPr>
      </w:pPr>
    </w:p>
    <w:p w:rsidR="00E261A0" w:rsidRP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Увеличены размеры социальных налоговых вычетов по расходам на образование и лечение</w:t>
      </w:r>
    </w:p>
    <w:p w:rsidR="00E261A0" w:rsidRPr="00E261A0" w:rsidRDefault="00E261A0" w:rsidP="00E261A0">
      <w:pPr>
        <w:spacing w:after="0" w:line="240" w:lineRule="auto"/>
        <w:ind w:firstLine="709"/>
        <w:jc w:val="both"/>
        <w:rPr>
          <w:rFonts w:ascii="Times New Roman" w:hAnsi="Times New Roman"/>
          <w:sz w:val="20"/>
          <w:szCs w:val="20"/>
        </w:rPr>
      </w:pPr>
      <w:proofErr w:type="gramStart"/>
      <w:r w:rsidRPr="00E261A0">
        <w:rPr>
          <w:rFonts w:ascii="Times New Roman" w:hAnsi="Times New Roman"/>
          <w:sz w:val="20"/>
          <w:szCs w:val="20"/>
        </w:rPr>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по налогу на доходы физических лиц по фактически произведённым расходам налогоплательщика-родителя на обучение своих детей в возрасте до 24 лет, налогоплательщика-опекуна (налогоплательщика-попечителя) на обучение своих подопечных в возрасте до 18 лет по очной форме обучения в</w:t>
      </w:r>
      <w:proofErr w:type="gramEnd"/>
      <w:r w:rsidRPr="00E261A0">
        <w:rPr>
          <w:rFonts w:ascii="Times New Roman" w:hAnsi="Times New Roman"/>
          <w:sz w:val="20"/>
          <w:szCs w:val="20"/>
        </w:rPr>
        <w:t xml:space="preserve"> организациях, осуществляющих образовательную деятельность </w:t>
      </w:r>
      <w:proofErr w:type="gramStart"/>
      <w:r w:rsidRPr="00E261A0">
        <w:rPr>
          <w:rFonts w:ascii="Times New Roman" w:hAnsi="Times New Roman"/>
          <w:sz w:val="20"/>
          <w:szCs w:val="20"/>
        </w:rPr>
        <w:t>увеличен</w:t>
      </w:r>
      <w:proofErr w:type="gramEnd"/>
      <w:r w:rsidRPr="00E261A0">
        <w:rPr>
          <w:rFonts w:ascii="Times New Roman" w:hAnsi="Times New Roman"/>
          <w:sz w:val="20"/>
          <w:szCs w:val="20"/>
        </w:rPr>
        <w:t xml:space="preserve"> до 110 тысяч рублей.</w:t>
      </w:r>
    </w:p>
    <w:p w:rsidR="00E261A0" w:rsidRDefault="00E261A0" w:rsidP="00E261A0">
      <w:pPr>
        <w:spacing w:after="0" w:line="240" w:lineRule="auto"/>
        <w:ind w:firstLine="709"/>
        <w:jc w:val="both"/>
        <w:rPr>
          <w:rFonts w:ascii="Times New Roman" w:hAnsi="Times New Roman"/>
          <w:sz w:val="20"/>
          <w:szCs w:val="20"/>
        </w:rPr>
      </w:pPr>
      <w:proofErr w:type="gramStart"/>
      <w:r w:rsidRPr="00E261A0">
        <w:rPr>
          <w:rFonts w:ascii="Times New Roman" w:hAnsi="Times New Roman"/>
          <w:sz w:val="20"/>
          <w:szCs w:val="20"/>
        </w:rPr>
        <w:t>Наряду с эти, увеличен до 150 тысяч рублей предельный размер социального налогового вычета по налогу на доходы физических лиц по фактически произведённым расходам налогоплательщика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на оплату прохождения независимой оценки своей квалификации, расходам по договорам негосударственного пенсионного</w:t>
      </w:r>
      <w:proofErr w:type="gramEnd"/>
      <w:r w:rsidRPr="00E261A0">
        <w:rPr>
          <w:rFonts w:ascii="Times New Roman" w:hAnsi="Times New Roman"/>
          <w:sz w:val="20"/>
          <w:szCs w:val="20"/>
        </w:rPr>
        <w:t xml:space="preserve"> обеспечения, добровольного пенсионного страхования и добровольного страхования жизни</w:t>
      </w:r>
    </w:p>
    <w:p w:rsidR="00E261A0" w:rsidRDefault="00E261A0" w:rsidP="00E261A0">
      <w:pPr>
        <w:spacing w:after="0" w:line="240" w:lineRule="auto"/>
        <w:ind w:firstLine="709"/>
        <w:jc w:val="both"/>
        <w:rPr>
          <w:rFonts w:ascii="Times New Roman" w:hAnsi="Times New Roman"/>
          <w:sz w:val="20"/>
          <w:szCs w:val="20"/>
        </w:rPr>
      </w:pPr>
    </w:p>
    <w:p w:rsidR="00E261A0" w:rsidRP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Конституционный суд Российской Федерации в своем постановлении от11.04.2023 № 16-П разъяснил, что обязанность работодателя уплатить проценты (денежную компенсацию) возникает в силу </w:t>
      </w:r>
      <w:proofErr w:type="gramStart"/>
      <w:r w:rsidRPr="00E261A0">
        <w:rPr>
          <w:rFonts w:ascii="Times New Roman" w:hAnsi="Times New Roman"/>
          <w:sz w:val="20"/>
          <w:szCs w:val="20"/>
        </w:rPr>
        <w:t>нарушения</w:t>
      </w:r>
      <w:proofErr w:type="gramEnd"/>
      <w:r w:rsidRPr="00E261A0">
        <w:rPr>
          <w:rFonts w:ascii="Times New Roman" w:hAnsi="Times New Roman"/>
          <w:sz w:val="20"/>
          <w:szCs w:val="20"/>
        </w:rPr>
        <w:t xml:space="preserve">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w:t>
      </w:r>
      <w:proofErr w:type="gramStart"/>
      <w:r w:rsidRPr="00E261A0">
        <w:rPr>
          <w:rFonts w:ascii="Times New Roman" w:hAnsi="Times New Roman"/>
          <w:sz w:val="20"/>
          <w:szCs w:val="20"/>
        </w:rPr>
        <w:t>в(</w:t>
      </w:r>
      <w:proofErr w:type="gramEnd"/>
      <w:r w:rsidRPr="00E261A0">
        <w:rPr>
          <w:rFonts w:ascii="Times New Roman" w:hAnsi="Times New Roman"/>
          <w:sz w:val="20"/>
          <w:szCs w:val="20"/>
        </w:rPr>
        <w:t>денежной компенсации) из фактически не выплаченных денежных сумм со дня, следующего за днем, когда эти выплаты должны были быть выплачены при своевременном их начислении.</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В этой связи, 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невыплаченных денежных сумм со дня, следующего за днем, когда они должны были быть выплачены, по день фактического расчета включительно.</w:t>
      </w:r>
    </w:p>
    <w:p w:rsidR="00E261A0" w:rsidRDefault="00E261A0" w:rsidP="00E261A0">
      <w:pPr>
        <w:spacing w:after="0" w:line="240" w:lineRule="auto"/>
        <w:ind w:firstLine="709"/>
        <w:jc w:val="both"/>
        <w:rPr>
          <w:rFonts w:ascii="Times New Roman" w:hAnsi="Times New Roman"/>
          <w:sz w:val="20"/>
          <w:szCs w:val="20"/>
        </w:rPr>
      </w:pPr>
    </w:p>
    <w:p w:rsidR="00E261A0" w:rsidRP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Конфискация автомобиля при езде в нетрезвом виде</w:t>
      </w:r>
    </w:p>
    <w:p w:rsidR="00E261A0" w:rsidRPr="00E261A0" w:rsidRDefault="00E261A0" w:rsidP="00E261A0">
      <w:pPr>
        <w:spacing w:after="0" w:line="240" w:lineRule="auto"/>
        <w:ind w:firstLine="709"/>
        <w:jc w:val="both"/>
        <w:rPr>
          <w:rFonts w:ascii="Times New Roman" w:hAnsi="Times New Roman"/>
          <w:sz w:val="20"/>
          <w:szCs w:val="20"/>
        </w:rPr>
      </w:pPr>
      <w:proofErr w:type="gramStart"/>
      <w:r w:rsidRPr="00E261A0">
        <w:rPr>
          <w:rFonts w:ascii="Times New Roman" w:hAnsi="Times New Roman"/>
          <w:sz w:val="20"/>
          <w:szCs w:val="20"/>
        </w:rPr>
        <w:t xml:space="preserve">Внесенными в часть 1 статьи 104.1 Уголовного кодекса Российской Федерации изменениями с 25.07.2022 законодатель предусмотрел конфискацию транспортного средства, принадлежащего обвиняемому и использованного им при совершении преступлений, предусмотренных статьями 264.1 УК </w:t>
      </w:r>
      <w:r w:rsidRPr="00E261A0">
        <w:rPr>
          <w:rFonts w:ascii="Times New Roman" w:hAnsi="Times New Roman"/>
          <w:sz w:val="20"/>
          <w:szCs w:val="20"/>
        </w:rPr>
        <w:lastRenderedPageBreak/>
        <w:t>РФ (управление транспортным средством в состоянии опьянения лицом, подвергнутым административному наказанию или имеющему судимость), 264.2 УК РФ (нарушение правил дорожного движения лицом, подвергнутым административному наказанию и лишенным права управления транспортными</w:t>
      </w:r>
      <w:proofErr w:type="gramEnd"/>
      <w:r w:rsidRPr="00E261A0">
        <w:rPr>
          <w:rFonts w:ascii="Times New Roman" w:hAnsi="Times New Roman"/>
          <w:sz w:val="20"/>
          <w:szCs w:val="20"/>
        </w:rPr>
        <w:t xml:space="preserve"> средствами), 264.3 УК РФ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Следует понимать, что возможность конфискации транспортного средства у виновного лица не ставится в зависимость от его семейных и иных личных обстоятельств, а отсутствие в уголовном деле процессуального решения о признании транспортного средства вещественным доказательством, его не регистрация в уполномоченных органах также не ограничивает возможность применения судом данной меры ответственности.</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Нарабатывается практика обращения в доход государства транспортных средств, переданных после совершения преступления во владение третьим лицам.</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Наличие предварительного договора купли-продажи также не свидетельствует о переходе права собственности на автомобиль, так как в соответствии с нормами гражданского законодательства оно приобретается с момента фактической передачи транспортного средства.</w:t>
      </w:r>
    </w:p>
    <w:p w:rsid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Применение обеспечительных </w:t>
      </w:r>
      <w:proofErr w:type="gramStart"/>
      <w:r w:rsidRPr="00E261A0">
        <w:rPr>
          <w:rFonts w:ascii="Times New Roman" w:hAnsi="Times New Roman"/>
          <w:sz w:val="20"/>
          <w:szCs w:val="20"/>
        </w:rPr>
        <w:t>мер</w:t>
      </w:r>
      <w:proofErr w:type="gramEnd"/>
      <w:r w:rsidRPr="00E261A0">
        <w:rPr>
          <w:rFonts w:ascii="Times New Roman" w:hAnsi="Times New Roman"/>
          <w:sz w:val="20"/>
          <w:szCs w:val="20"/>
        </w:rPr>
        <w:t xml:space="preserve"> и последующая конфискация данных транспортных средств являются эффективной мерой профилактики преступлений и иных правонарушений на дорогах, лишая виновных средств для их совершения в будущем.</w:t>
      </w:r>
    </w:p>
    <w:p w:rsidR="00E261A0" w:rsidRPr="00E261A0" w:rsidRDefault="00E261A0" w:rsidP="00E261A0">
      <w:pPr>
        <w:spacing w:after="0" w:line="240" w:lineRule="auto"/>
        <w:ind w:firstLine="709"/>
        <w:jc w:val="center"/>
        <w:rPr>
          <w:rFonts w:ascii="Times New Roman" w:hAnsi="Times New Roman"/>
          <w:b/>
          <w:sz w:val="24"/>
          <w:szCs w:val="24"/>
        </w:rPr>
      </w:pPr>
    </w:p>
    <w:p w:rsidR="00E261A0" w:rsidRPr="00E261A0" w:rsidRDefault="00E261A0" w:rsidP="00E261A0">
      <w:pPr>
        <w:spacing w:after="0" w:line="240" w:lineRule="auto"/>
        <w:ind w:firstLine="709"/>
        <w:jc w:val="center"/>
        <w:rPr>
          <w:rFonts w:ascii="Times New Roman" w:hAnsi="Times New Roman"/>
          <w:b/>
          <w:sz w:val="24"/>
          <w:szCs w:val="24"/>
        </w:rPr>
      </w:pPr>
      <w:r w:rsidRPr="00E261A0">
        <w:rPr>
          <w:rFonts w:ascii="Times New Roman" w:hAnsi="Times New Roman"/>
          <w:b/>
          <w:sz w:val="24"/>
          <w:szCs w:val="24"/>
        </w:rPr>
        <w:t xml:space="preserve">Увеличен размер штрафа за продажу несовершеннолетним сигарет и </w:t>
      </w:r>
      <w:proofErr w:type="spellStart"/>
      <w:r w:rsidRPr="00E261A0">
        <w:rPr>
          <w:rFonts w:ascii="Times New Roman" w:hAnsi="Times New Roman"/>
          <w:b/>
          <w:sz w:val="24"/>
          <w:szCs w:val="24"/>
        </w:rPr>
        <w:t>вейпов</w:t>
      </w:r>
      <w:proofErr w:type="spellEnd"/>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Федеральным законом № 178-Ф3 «О внесении изменений в отдельные законодательные акты Российской Федерации» внесены изменения в Кодекс Российской Федерации об административных правонарушениях. Закон подписан Президентом РФ 28 апреля 2023 года.</w:t>
      </w:r>
    </w:p>
    <w:p w:rsidR="00E261A0" w:rsidRPr="00E261A0" w:rsidRDefault="00E261A0" w:rsidP="00E261A0">
      <w:pPr>
        <w:spacing w:after="0" w:line="240" w:lineRule="auto"/>
        <w:ind w:firstLine="709"/>
        <w:jc w:val="both"/>
        <w:rPr>
          <w:rFonts w:ascii="Times New Roman" w:hAnsi="Times New Roman"/>
          <w:sz w:val="20"/>
          <w:szCs w:val="20"/>
        </w:rPr>
      </w:pP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Теперь сумма штрафа за реализацию несовершеннолетнему табачной продукции составляет:</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для должностных лиц - от 150 тыс. до 300 тыс. руб.</w:t>
      </w: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для компаний от 400 тыс. до 600 тыс. руб.</w:t>
      </w:r>
    </w:p>
    <w:p w:rsidR="00E261A0" w:rsidRPr="00E261A0" w:rsidRDefault="00E261A0" w:rsidP="00E261A0">
      <w:pPr>
        <w:spacing w:after="0" w:line="240" w:lineRule="auto"/>
        <w:ind w:firstLine="709"/>
        <w:jc w:val="both"/>
        <w:rPr>
          <w:rFonts w:ascii="Times New Roman" w:hAnsi="Times New Roman"/>
          <w:sz w:val="20"/>
          <w:szCs w:val="20"/>
        </w:rPr>
      </w:pP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 xml:space="preserve">То же коснется табачных изделий, </w:t>
      </w:r>
      <w:proofErr w:type="spellStart"/>
      <w:r w:rsidRPr="00E261A0">
        <w:rPr>
          <w:rFonts w:ascii="Times New Roman" w:hAnsi="Times New Roman"/>
          <w:sz w:val="20"/>
          <w:szCs w:val="20"/>
        </w:rPr>
        <w:t>никотинсодержащей</w:t>
      </w:r>
      <w:proofErr w:type="spellEnd"/>
      <w:r w:rsidRPr="00E261A0">
        <w:rPr>
          <w:rFonts w:ascii="Times New Roman" w:hAnsi="Times New Roman"/>
          <w:sz w:val="20"/>
          <w:szCs w:val="20"/>
        </w:rPr>
        <w:t xml:space="preserve"> продукции, устрой</w:t>
      </w:r>
      <w:proofErr w:type="gramStart"/>
      <w:r w:rsidRPr="00E261A0">
        <w:rPr>
          <w:rFonts w:ascii="Times New Roman" w:hAnsi="Times New Roman"/>
          <w:sz w:val="20"/>
          <w:szCs w:val="20"/>
        </w:rPr>
        <w:t>ств дл</w:t>
      </w:r>
      <w:proofErr w:type="gramEnd"/>
      <w:r w:rsidRPr="00E261A0">
        <w:rPr>
          <w:rFonts w:ascii="Times New Roman" w:hAnsi="Times New Roman"/>
          <w:sz w:val="20"/>
          <w:szCs w:val="20"/>
        </w:rPr>
        <w:t>я ее потребления и кальянов.</w:t>
      </w:r>
    </w:p>
    <w:p w:rsidR="00E261A0" w:rsidRPr="00E261A0" w:rsidRDefault="00E261A0" w:rsidP="00E261A0">
      <w:pPr>
        <w:spacing w:after="0" w:line="240" w:lineRule="auto"/>
        <w:ind w:firstLine="709"/>
        <w:jc w:val="both"/>
        <w:rPr>
          <w:rFonts w:ascii="Times New Roman" w:hAnsi="Times New Roman"/>
          <w:sz w:val="20"/>
          <w:szCs w:val="20"/>
        </w:rPr>
      </w:pPr>
    </w:p>
    <w:p w:rsidR="00E261A0" w:rsidRPr="00E261A0" w:rsidRDefault="00E261A0" w:rsidP="00E261A0">
      <w:pPr>
        <w:spacing w:after="0" w:line="240" w:lineRule="auto"/>
        <w:ind w:firstLine="709"/>
        <w:jc w:val="both"/>
        <w:rPr>
          <w:rFonts w:ascii="Times New Roman" w:hAnsi="Times New Roman"/>
          <w:sz w:val="20"/>
          <w:szCs w:val="20"/>
        </w:rPr>
      </w:pPr>
      <w:r w:rsidRPr="00E261A0">
        <w:rPr>
          <w:rFonts w:ascii="Times New Roman" w:hAnsi="Times New Roman"/>
          <w:sz w:val="20"/>
          <w:szCs w:val="20"/>
        </w:rPr>
        <w:t>До принятых нововведений сумма штрафа для должностных лиц составлял от 40 тыс. до 70 тыс. руб., а для организаций - от 150 тыс. до 300 тыс. руб.</w:t>
      </w:r>
    </w:p>
    <w:p w:rsidR="00114E2C" w:rsidRDefault="00114E2C"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Pr="00E261A0" w:rsidRDefault="00E261A0" w:rsidP="00114E2C">
      <w:pPr>
        <w:spacing w:after="0" w:line="240" w:lineRule="auto"/>
        <w:ind w:firstLine="709"/>
        <w:jc w:val="both"/>
        <w:rPr>
          <w:rFonts w:ascii="Times New Roman" w:hAnsi="Times New Roman"/>
          <w:i/>
          <w:sz w:val="20"/>
          <w:szCs w:val="20"/>
          <w:u w:val="single"/>
        </w:rPr>
      </w:pPr>
      <w:r w:rsidRPr="00E261A0">
        <w:rPr>
          <w:rFonts w:ascii="Times New Roman" w:hAnsi="Times New Roman"/>
          <w:i/>
          <w:sz w:val="20"/>
          <w:szCs w:val="20"/>
          <w:u w:val="single"/>
        </w:rPr>
        <w:t xml:space="preserve">Информация подготовлена прокуратурой </w:t>
      </w:r>
      <w:proofErr w:type="spellStart"/>
      <w:r w:rsidRPr="00E261A0">
        <w:rPr>
          <w:rFonts w:ascii="Times New Roman" w:hAnsi="Times New Roman"/>
          <w:i/>
          <w:sz w:val="20"/>
          <w:szCs w:val="20"/>
          <w:u w:val="single"/>
        </w:rPr>
        <w:t>Коченевского</w:t>
      </w:r>
      <w:proofErr w:type="spellEnd"/>
      <w:r w:rsidRPr="00E261A0">
        <w:rPr>
          <w:rFonts w:ascii="Times New Roman" w:hAnsi="Times New Roman"/>
          <w:i/>
          <w:sz w:val="20"/>
          <w:szCs w:val="20"/>
          <w:u w:val="single"/>
        </w:rPr>
        <w:t xml:space="preserve"> района</w:t>
      </w: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bookmarkStart w:id="0" w:name="_GoBack"/>
      <w:bookmarkEnd w:id="0"/>
    </w:p>
    <w:p w:rsidR="00E261A0" w:rsidRDefault="00E261A0" w:rsidP="00114E2C">
      <w:pPr>
        <w:spacing w:after="0" w:line="240" w:lineRule="auto"/>
        <w:ind w:firstLine="709"/>
        <w:jc w:val="both"/>
        <w:rPr>
          <w:rFonts w:ascii="Times New Roman" w:hAnsi="Times New Roman"/>
          <w:sz w:val="20"/>
          <w:szCs w:val="20"/>
        </w:rPr>
      </w:pPr>
    </w:p>
    <w:p w:rsidR="00E261A0" w:rsidRDefault="00E261A0" w:rsidP="00114E2C">
      <w:pPr>
        <w:spacing w:after="0" w:line="240" w:lineRule="auto"/>
        <w:ind w:firstLine="709"/>
        <w:jc w:val="both"/>
        <w:rPr>
          <w:rFonts w:ascii="Times New Roman" w:hAnsi="Times New Roman"/>
          <w:sz w:val="20"/>
          <w:szCs w:val="20"/>
        </w:rPr>
      </w:pPr>
    </w:p>
    <w:p w:rsidR="00114E2C" w:rsidRDefault="00114E2C" w:rsidP="00114E2C">
      <w:pPr>
        <w:spacing w:after="0" w:line="240" w:lineRule="auto"/>
        <w:ind w:firstLine="709"/>
        <w:jc w:val="both"/>
        <w:rPr>
          <w:rFonts w:ascii="Times New Roman" w:hAnsi="Times New Roman"/>
          <w:sz w:val="20"/>
          <w:szCs w:val="20"/>
        </w:rPr>
      </w:pPr>
      <w:r>
        <w:rPr>
          <w:rFonts w:ascii="Times New Roman" w:hAnsi="Times New Roman"/>
          <w:sz w:val="20"/>
          <w:szCs w:val="20"/>
        </w:rPr>
        <w:t xml:space="preserve">Председатель редакционного совета                                                                                  </w:t>
      </w:r>
      <w:proofErr w:type="spellStart"/>
      <w:r>
        <w:rPr>
          <w:rFonts w:ascii="Times New Roman" w:hAnsi="Times New Roman"/>
          <w:sz w:val="20"/>
          <w:szCs w:val="20"/>
        </w:rPr>
        <w:t>Н.Н.Баландюк</w:t>
      </w:r>
      <w:proofErr w:type="spellEnd"/>
    </w:p>
    <w:p w:rsidR="00114E2C" w:rsidRDefault="00114E2C" w:rsidP="00114E2C">
      <w:pPr>
        <w:spacing w:after="0" w:line="240" w:lineRule="auto"/>
        <w:ind w:firstLine="709"/>
        <w:jc w:val="both"/>
        <w:rPr>
          <w:rFonts w:ascii="Times New Roman" w:hAnsi="Times New Roman"/>
          <w:sz w:val="20"/>
          <w:szCs w:val="20"/>
        </w:rPr>
      </w:pPr>
    </w:p>
    <w:p w:rsidR="00114E2C" w:rsidRPr="00CA0A96" w:rsidRDefault="00114E2C" w:rsidP="00114E2C">
      <w:pPr>
        <w:spacing w:after="0" w:line="240" w:lineRule="auto"/>
        <w:ind w:firstLine="709"/>
        <w:jc w:val="both"/>
        <w:rPr>
          <w:rFonts w:ascii="Times New Roman" w:hAnsi="Times New Roman"/>
          <w:sz w:val="20"/>
          <w:szCs w:val="20"/>
        </w:rPr>
      </w:pPr>
      <w:r>
        <w:rPr>
          <w:rFonts w:ascii="Times New Roman" w:hAnsi="Times New Roman"/>
          <w:sz w:val="20"/>
          <w:szCs w:val="20"/>
        </w:rPr>
        <w:t xml:space="preserve">Тираж  15 экземпляров         </w:t>
      </w:r>
    </w:p>
    <w:p w:rsidR="00114E2C" w:rsidRPr="00114E2C" w:rsidRDefault="00114E2C" w:rsidP="00114E2C">
      <w:pPr>
        <w:spacing w:after="315" w:line="390" w:lineRule="atLeast"/>
        <w:jc w:val="both"/>
        <w:rPr>
          <w:rFonts w:ascii="Segoe UI" w:eastAsia="Times New Roman" w:hAnsi="Segoe UI" w:cs="Segoe UI"/>
          <w:sz w:val="27"/>
          <w:szCs w:val="27"/>
          <w:lang w:eastAsia="ru-RU"/>
        </w:rPr>
      </w:pPr>
    </w:p>
    <w:p w:rsidR="00114E2C" w:rsidRPr="00114E2C" w:rsidRDefault="00114E2C" w:rsidP="00114E2C">
      <w:pPr>
        <w:shd w:val="clear" w:color="auto" w:fill="FFFFFF"/>
        <w:jc w:val="center"/>
        <w:rPr>
          <w:rFonts w:ascii="Times New Roman" w:eastAsia="Times New Roman" w:hAnsi="Times New Roman"/>
          <w:b/>
          <w:color w:val="000000"/>
          <w:sz w:val="28"/>
          <w:szCs w:val="28"/>
          <w:lang w:eastAsia="ru-RU"/>
        </w:rPr>
      </w:pPr>
    </w:p>
    <w:p w:rsidR="001D1552" w:rsidRDefault="001D1552"/>
    <w:sectPr w:rsidR="001D1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E7"/>
    <w:rsid w:val="00114E2C"/>
    <w:rsid w:val="001D1552"/>
    <w:rsid w:val="002C10E7"/>
    <w:rsid w:val="00AF656D"/>
    <w:rsid w:val="00E2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6266">
      <w:bodyDiv w:val="1"/>
      <w:marLeft w:val="0"/>
      <w:marRight w:val="0"/>
      <w:marTop w:val="0"/>
      <w:marBottom w:val="0"/>
      <w:divBdr>
        <w:top w:val="none" w:sz="0" w:space="0" w:color="auto"/>
        <w:left w:val="none" w:sz="0" w:space="0" w:color="auto"/>
        <w:bottom w:val="none" w:sz="0" w:space="0" w:color="auto"/>
        <w:right w:val="none" w:sz="0" w:space="0" w:color="auto"/>
      </w:divBdr>
    </w:div>
    <w:div w:id="203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2023-12-22T06:56:00Z</cp:lastPrinted>
  <dcterms:created xsi:type="dcterms:W3CDTF">2021-11-15T09:20:00Z</dcterms:created>
  <dcterms:modified xsi:type="dcterms:W3CDTF">2023-12-22T06:57:00Z</dcterms:modified>
</cp:coreProperties>
</file>