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C2" w:rsidRDefault="00A22CC2" w:rsidP="00A22CC2">
      <w:pPr>
        <w:rPr>
          <w:b/>
          <w:sz w:val="28"/>
          <w:szCs w:val="28"/>
        </w:rPr>
      </w:pPr>
    </w:p>
    <w:p w:rsidR="00CB2644" w:rsidRDefault="00CB2644" w:rsidP="00A22CC2">
      <w:pPr>
        <w:jc w:val="center"/>
        <w:rPr>
          <w:b/>
          <w:sz w:val="28"/>
          <w:szCs w:val="28"/>
        </w:rPr>
      </w:pPr>
    </w:p>
    <w:p w:rsidR="00CA6149" w:rsidRDefault="00CA6149" w:rsidP="00CA6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ЦЕЛИННОГО СЕЛЬСОВЕТА</w:t>
      </w:r>
    </w:p>
    <w:p w:rsidR="00CB2644" w:rsidRDefault="00CA6149" w:rsidP="00CA6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A22CC2" w:rsidRDefault="00A22CC2" w:rsidP="00A22C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22CC2" w:rsidRPr="0067107F" w:rsidRDefault="00A22CC2" w:rsidP="00A22CC2">
      <w:pPr>
        <w:jc w:val="both"/>
        <w:rPr>
          <w:sz w:val="28"/>
          <w:szCs w:val="28"/>
        </w:rPr>
      </w:pPr>
    </w:p>
    <w:p w:rsidR="00A22CC2" w:rsidRPr="0067107F" w:rsidRDefault="00A22CC2" w:rsidP="00CA6149">
      <w:pPr>
        <w:jc w:val="center"/>
        <w:rPr>
          <w:bCs/>
          <w:sz w:val="28"/>
          <w:szCs w:val="28"/>
        </w:rPr>
      </w:pPr>
      <w:r w:rsidRPr="0067107F">
        <w:rPr>
          <w:sz w:val="28"/>
          <w:szCs w:val="28"/>
        </w:rPr>
        <w:t xml:space="preserve">от </w:t>
      </w:r>
      <w:r w:rsidR="00CA6149">
        <w:rPr>
          <w:sz w:val="28"/>
          <w:szCs w:val="28"/>
        </w:rPr>
        <w:t>18.04.2019                          № 32</w:t>
      </w:r>
    </w:p>
    <w:p w:rsidR="007612D2" w:rsidRPr="007612D2" w:rsidRDefault="007612D2" w:rsidP="007612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6710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</w:t>
      </w:r>
    </w:p>
    <w:p w:rsidR="007612D2" w:rsidRPr="0067107F" w:rsidRDefault="007612D2" w:rsidP="0067107F">
      <w:pPr>
        <w:pStyle w:val="ConsPlusTitle"/>
        <w:jc w:val="center"/>
        <w:rPr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ЗАИМСТВОВАНИЙ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2644">
        <w:rPr>
          <w:rFonts w:ascii="Times New Roman" w:hAnsi="Times New Roman" w:cs="Times New Roman"/>
          <w:sz w:val="28"/>
          <w:szCs w:val="28"/>
        </w:rPr>
        <w:t>ЦЕЛИННОГО СЕЛЬСОВЕТА КОЧЕНЕВСКОГО РАЙОНА НОВОСИБИРСКОЙ ОБЛАСТИ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</w:t>
      </w:r>
      <w:r w:rsidR="00E62CDF">
        <w:rPr>
          <w:rFonts w:ascii="Times New Roman" w:hAnsi="Times New Roman" w:cs="Times New Roman"/>
          <w:sz w:val="28"/>
          <w:szCs w:val="28"/>
        </w:rPr>
        <w:br/>
      </w:r>
      <w:r w:rsidRPr="007612D2">
        <w:rPr>
          <w:rFonts w:ascii="Times New Roman" w:hAnsi="Times New Roman" w:cs="Times New Roman"/>
          <w:sz w:val="28"/>
          <w:szCs w:val="28"/>
        </w:rPr>
        <w:t xml:space="preserve">06 октября 2003 г.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131-ФЗ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12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612D2">
        <w:rPr>
          <w:rFonts w:ascii="Times New Roman" w:hAnsi="Times New Roman" w:cs="Times New Roman"/>
          <w:sz w:val="28"/>
          <w:szCs w:val="28"/>
        </w:rPr>
        <w:t xml:space="preserve">, от 14 ноября 2002 г.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>161-ФЗ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12D2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12D2">
        <w:rPr>
          <w:rFonts w:ascii="Times New Roman" w:hAnsi="Times New Roman" w:cs="Times New Roman"/>
          <w:sz w:val="28"/>
          <w:szCs w:val="28"/>
        </w:rPr>
        <w:t xml:space="preserve">, в целях согласования и осуществления контроля за получением муниципальными унитарными предприятиями </w:t>
      </w:r>
      <w:r w:rsidR="006D10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12D2">
        <w:rPr>
          <w:rFonts w:ascii="Times New Roman" w:hAnsi="Times New Roman" w:cs="Times New Roman"/>
          <w:sz w:val="28"/>
          <w:szCs w:val="28"/>
        </w:rPr>
        <w:t xml:space="preserve"> заимствований и исполнением обязательств по их возврату, администрация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Pr="007612D2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8" w:history="1">
        <w:r w:rsidRPr="00CA614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о порядке осуществления заимствований муниципальными унитарными предприятиями</w:t>
      </w:r>
      <w:r w:rsidR="00E62C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="00CB2644">
        <w:rPr>
          <w:rFonts w:ascii="Times New Roman" w:hAnsi="Times New Roman" w:cs="Times New Roman"/>
          <w:sz w:val="28"/>
          <w:szCs w:val="28"/>
        </w:rPr>
        <w:t>Целинного сельсовета</w:t>
      </w:r>
      <w:proofErr w:type="gramStart"/>
      <w:r w:rsidR="00CB2644">
        <w:rPr>
          <w:rFonts w:ascii="Times New Roman" w:hAnsi="Times New Roman" w:cs="Times New Roman"/>
          <w:sz w:val="28"/>
          <w:szCs w:val="28"/>
        </w:rPr>
        <w:t xml:space="preserve">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62CDF">
        <w:rPr>
          <w:rFonts w:ascii="Times New Roman" w:hAnsi="Times New Roman" w:cs="Times New Roman"/>
          <w:sz w:val="28"/>
          <w:szCs w:val="28"/>
        </w:rPr>
        <w:t>Р</w:t>
      </w:r>
      <w:r w:rsidRPr="007612D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="00E62CD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7612D2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0F65C7" w:rsidRPr="000F65C7">
        <w:rPr>
          <w:rFonts w:ascii="Times New Roman" w:hAnsi="Times New Roman" w:cs="Times New Roman"/>
          <w:sz w:val="28"/>
          <w:szCs w:val="28"/>
        </w:rPr>
        <w:t xml:space="preserve">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E62CDF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12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2D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0F65C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="00E62CDF" w:rsidRPr="0076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149" w:rsidRDefault="00CA6149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149" w:rsidRDefault="00CA6149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149" w:rsidRDefault="00CA6149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149" w:rsidRDefault="00CA6149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149" w:rsidRPr="007612D2" w:rsidRDefault="00CA6149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E62CDF" w:rsidP="00CB26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="00CB2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CB2644"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CDF" w:rsidRDefault="00E62CDF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CDF" w:rsidRDefault="00E62CDF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CDF" w:rsidRDefault="00E62CDF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5C7" w:rsidRDefault="000F65C7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5C7" w:rsidRDefault="000F65C7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5C7" w:rsidRDefault="000F65C7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5C7" w:rsidRPr="007612D2" w:rsidRDefault="000F65C7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0F65C7" w:rsidRDefault="007612D2" w:rsidP="007612D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F65C7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0F65C7" w:rsidRPr="000F65C7" w:rsidRDefault="000F65C7" w:rsidP="000F65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65C7">
        <w:rPr>
          <w:rFonts w:ascii="Times New Roman" w:hAnsi="Times New Roman" w:cs="Times New Roman"/>
          <w:sz w:val="20"/>
        </w:rPr>
        <w:t>П</w:t>
      </w:r>
      <w:r w:rsidR="007612D2" w:rsidRPr="000F65C7">
        <w:rPr>
          <w:rFonts w:ascii="Times New Roman" w:hAnsi="Times New Roman" w:cs="Times New Roman"/>
          <w:sz w:val="20"/>
        </w:rPr>
        <w:t>остановлением</w:t>
      </w:r>
    </w:p>
    <w:p w:rsidR="00CA6149" w:rsidRDefault="007612D2" w:rsidP="00CB2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0"/>
        </w:rPr>
        <w:t>администрации</w:t>
      </w:r>
      <w:r w:rsidR="000F65C7" w:rsidRPr="000F65C7">
        <w:rPr>
          <w:rFonts w:ascii="Times New Roman" w:hAnsi="Times New Roman" w:cs="Times New Roman"/>
          <w:sz w:val="20"/>
        </w:rPr>
        <w:t xml:space="preserve"> </w:t>
      </w:r>
      <w:r w:rsidR="00CB2644" w:rsidRPr="00CA6149">
        <w:rPr>
          <w:rFonts w:ascii="Times New Roman" w:hAnsi="Times New Roman" w:cs="Times New Roman"/>
          <w:sz w:val="24"/>
          <w:szCs w:val="24"/>
        </w:rPr>
        <w:t>Целинного сельсовета</w:t>
      </w:r>
      <w:r w:rsidR="00CA6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2D2" w:rsidRPr="007612D2" w:rsidRDefault="00CA6149" w:rsidP="00CB26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18.04.2019 № 32</w:t>
      </w:r>
      <w:r w:rsidR="00CB2644">
        <w:rPr>
          <w:rFonts w:ascii="Times New Roman" w:hAnsi="Times New Roman" w:cs="Times New Roman"/>
          <w:sz w:val="28"/>
          <w:szCs w:val="28"/>
        </w:rPr>
        <w:t xml:space="preserve">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149" w:rsidRDefault="00CA6149" w:rsidP="006710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</w:p>
    <w:p w:rsidR="00CA6149" w:rsidRDefault="00CA6149" w:rsidP="006710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6149" w:rsidRDefault="00CA6149" w:rsidP="006710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2D2" w:rsidRPr="0067107F" w:rsidRDefault="007612D2" w:rsidP="006710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107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7107F" w:rsidRPr="0067107F" w:rsidRDefault="007612D2" w:rsidP="0067107F">
      <w:pPr>
        <w:pStyle w:val="ConsPlusTitle"/>
        <w:jc w:val="center"/>
        <w:rPr>
          <w:b w:val="0"/>
          <w:sz w:val="28"/>
          <w:szCs w:val="28"/>
        </w:rPr>
      </w:pPr>
      <w:r w:rsidRPr="0067107F">
        <w:rPr>
          <w:rFonts w:ascii="Times New Roman" w:hAnsi="Times New Roman" w:cs="Times New Roman"/>
          <w:b w:val="0"/>
          <w:sz w:val="28"/>
          <w:szCs w:val="28"/>
        </w:rPr>
        <w:t>О ПОРЯДКЕ ОСУЩЕСТВЛЕНИЯ ЗАИМСТВОВАНИЙ МУНИЦИПАЛЬНЫМИ</w:t>
      </w:r>
      <w:r w:rsidR="00E62CDF" w:rsidRPr="006710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107F">
        <w:rPr>
          <w:rFonts w:ascii="Times New Roman" w:hAnsi="Times New Roman" w:cs="Times New Roman"/>
          <w:b w:val="0"/>
          <w:sz w:val="28"/>
          <w:szCs w:val="28"/>
        </w:rPr>
        <w:t xml:space="preserve">УНИТАРНЫМИ ПРЕДПРИЯТИЯМИ </w:t>
      </w:r>
      <w:r w:rsidR="00E62CDF" w:rsidRPr="0067107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DF" w:rsidRPr="007612D2" w:rsidRDefault="00E62CDF" w:rsidP="000F65C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осуществления заимствований муниципальными унитарными предприятиями </w:t>
      </w:r>
      <w:r w:rsidR="00507C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процедуру осуществления заимствований муниципальным унитарным предприятием </w:t>
      </w:r>
      <w:r w:rsidR="00507C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>(далее - муниципальное унитарное предприятие), формы заимствований и представление муниципальным унитарным предприятием отчетности об использовании заимствований.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правоотношения, связанные с предоставлением муниципальным унитарным предприятиям бюджетных кредитов.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1.2. Муниципальное унитарное предприятие вправе осуществлять заимствования по согласованию их объема и направлений использования с </w:t>
      </w:r>
      <w:r w:rsidR="00CB2644">
        <w:rPr>
          <w:rFonts w:ascii="Times New Roman" w:hAnsi="Times New Roman" w:cs="Times New Roman"/>
          <w:sz w:val="28"/>
          <w:szCs w:val="28"/>
        </w:rPr>
        <w:t xml:space="preserve">Советом депутатов 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 xml:space="preserve">(далее - Совет) или администрацией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="00C75853">
        <w:rPr>
          <w:rFonts w:ascii="Times New Roman" w:hAnsi="Times New Roman" w:cs="Times New Roman"/>
          <w:sz w:val="28"/>
          <w:szCs w:val="28"/>
        </w:rPr>
        <w:t>(далее - А</w:t>
      </w:r>
      <w:r w:rsidRPr="007612D2">
        <w:rPr>
          <w:rFonts w:ascii="Times New Roman" w:hAnsi="Times New Roman" w:cs="Times New Roman"/>
          <w:sz w:val="28"/>
          <w:szCs w:val="28"/>
        </w:rPr>
        <w:t>дминистрация) в порядке, установленном настоящим Положением.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1.3. Заимствования муниципальным унитарным предприятием могут осуществляться в форме: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- кредитов по договорам с кредитными организациями;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- размещения облигаций или выдачи векселей.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1.4. Решение о согласовании заимствования муниципальным унитарным предприятием принимается Советом в случае: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- суммы заимствования свыше 500 тыс. рублей;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- обеспечения исполнения обязательств по возврату заимствования залогом муниципального недвижимого имущества, муниципальной гарантией, независимо от суммы заимствования.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1.5. Решение о согласовании осуществления заимствования муниципальным унитарным предприятием принимается </w:t>
      </w:r>
      <w:r w:rsidR="00C75853">
        <w:rPr>
          <w:rFonts w:ascii="Times New Roman" w:hAnsi="Times New Roman" w:cs="Times New Roman"/>
          <w:sz w:val="28"/>
          <w:szCs w:val="28"/>
        </w:rPr>
        <w:t>А</w:t>
      </w:r>
      <w:r w:rsidRPr="007612D2">
        <w:rPr>
          <w:rFonts w:ascii="Times New Roman" w:hAnsi="Times New Roman" w:cs="Times New Roman"/>
          <w:sz w:val="28"/>
          <w:szCs w:val="28"/>
        </w:rPr>
        <w:t>дминистрацией при сумме заимствования до 500 тыс. рублей включительно, за исключением, если способом обеспечения обязательств по возврату заимствования является залог муниципального недвижимого имущества, муниципальная гарантия.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0F65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7612D2">
        <w:rPr>
          <w:rFonts w:ascii="Times New Roman" w:hAnsi="Times New Roman" w:cs="Times New Roman"/>
          <w:sz w:val="28"/>
          <w:szCs w:val="28"/>
        </w:rPr>
        <w:t>II. ПОРЯДОК СОГЛАСОВАНИЯ И ПРИНЯТИЯ РЕШЕНИЯ НА ОСУЩЕСТВЛЕНИЕ</w:t>
      </w:r>
      <w:r w:rsidR="000F65C7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>ЗАИМСТВОВАНИЙ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2.1. Принятие решения о согласовании на совершение сделок, связанных с осуществлением заимствований и направлений использования привлекаемых </w:t>
      </w:r>
      <w:r w:rsidRPr="007612D2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Pr="007612D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612D2">
        <w:rPr>
          <w:rFonts w:ascii="Times New Roman" w:hAnsi="Times New Roman" w:cs="Times New Roman"/>
          <w:sz w:val="28"/>
          <w:szCs w:val="28"/>
        </w:rPr>
        <w:t>оизводится по письменному заявлению руководителя муниципального унитарного предприятия.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7612D2">
        <w:rPr>
          <w:rFonts w:ascii="Times New Roman" w:hAnsi="Times New Roman" w:cs="Times New Roman"/>
          <w:sz w:val="28"/>
          <w:szCs w:val="28"/>
        </w:rPr>
        <w:t>2.2. В заявлении указываются: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1) наименование муниципального унитарного предприятия;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2) полное наименование и местонахождение предполагаемого кредитора;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3) форма заимствования;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4) размер заимствования;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5) процентная ставка;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6) срок заимствования;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7) способ и размер обеспечения исполнения обязательств по возврату заимствования, если заимствование осуществляется с обеспечением;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8) направление использования заемных средств.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2.3. К заявлению прилагаются следующие документы: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1) копии учредительных документов со всеми изменениями и дополнениями;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2) справка налогового органа о наличии и сумме задолженности муниципального унитарного предприятия по налогам и сборам, а также пеням и штрафам, полученная не позднее 1 месяца до подачи заявления о согласовании заимствования;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3) бухгалтерская отчетность за последний отчетный год и последний отчетный период с отметкой налогового органа о принятии;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4) информация о согласовании с кредитором существенных условий заимствования;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5) финансово-экономическое обоснование объема и направлений средств, привлекаемых на основании договора о заимствовании;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6) документы, подтверждающие наличие обеспечения исполнения обязательств по возврату заимствования, если такое обеспечение предусмотрено (за исключением случая, когда обеспечением исполнения обязательств по возврату заимствования выступает муниципальная гарантия);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7) проект договора о заимствовании;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8) справка об отсутствии решения о ликвидации, об отсутствии решения арбитражного суда о признании банкротом и об открытии конкурсного производства, об отсутствии решения о приостановлении деятельности муниципального унитарного предприятия в порядке, предусмотренном </w:t>
      </w:r>
      <w:hyperlink r:id="rId7" w:history="1"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2.4. В случае включения условия о залоге в договор предоставления займа к заявлению прилагаются: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1) проект договора о залоге, содержащий условия, предусматривающие вид залога, существо обеспеченного залогом требования, его размер, сроки и порядок исполнения обязательства, состав и стоимость заложенного имущества, условия страхования залогодателем закладываемого имущества, а также любые иные условия, относительно которых сторонами достигнуто согласие;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2) перечень закладываемого имущества с указанием наименования, местонахождения, инвентарного номера, единицы измерения, количественной характеристики объекта залога, его балансовой, оценочной и залоговой стоимости, подписанный руководителем муниципального унитарного предприятия и главным бухгалтером и скрепленный печатью предприятия;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3) копию отчета об оценке закладываемого имущества.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2.5. В случае осуществления заимствования путем размещения облигаций: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1) проект решения о выпуске облигаций общества, </w:t>
      </w:r>
      <w:proofErr w:type="gramStart"/>
      <w:r w:rsidRPr="007612D2">
        <w:rPr>
          <w:rFonts w:ascii="Times New Roman" w:hAnsi="Times New Roman" w:cs="Times New Roman"/>
          <w:sz w:val="28"/>
          <w:szCs w:val="28"/>
        </w:rPr>
        <w:t>принимаемое</w:t>
      </w:r>
      <w:proofErr w:type="gramEnd"/>
      <w:r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lastRenderedPageBreak/>
        <w:t>руководителем этого муниципального унитарного предприятия;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В случае осуществления заимствования путем выдачи векселей: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1) проект векселя, составленного предприятием с соблюдением действующего законодательства;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2) проект договора, обязательства по которому обеспечиваются данным векселем.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C758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III. ПОРЯДОК РАССМОТРЕНИЯ ЗАЯВЛЕНИЙ МУНИЦИПАЛЬНЫХ УНИТАРНЫХ</w:t>
      </w:r>
      <w:r w:rsidR="00C75853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>ПРЕДПРИЯТИЙ О СОГЛАСОВАНИИ ЗАИМСТВОВАНИЙ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3.1. Заявление руководителя муниципального унитарного </w:t>
      </w:r>
      <w:proofErr w:type="gramStart"/>
      <w:r w:rsidRPr="007612D2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7612D2">
        <w:rPr>
          <w:rFonts w:ascii="Times New Roman" w:hAnsi="Times New Roman" w:cs="Times New Roman"/>
          <w:sz w:val="28"/>
          <w:szCs w:val="28"/>
        </w:rPr>
        <w:t xml:space="preserve"> поступившее в </w:t>
      </w:r>
      <w:r w:rsidR="00CE5B60">
        <w:rPr>
          <w:rFonts w:ascii="Times New Roman" w:hAnsi="Times New Roman" w:cs="Times New Roman"/>
          <w:sz w:val="28"/>
          <w:szCs w:val="28"/>
        </w:rPr>
        <w:t>А</w:t>
      </w:r>
      <w:r w:rsidRPr="007612D2">
        <w:rPr>
          <w:rFonts w:ascii="Times New Roman" w:hAnsi="Times New Roman" w:cs="Times New Roman"/>
          <w:sz w:val="28"/>
          <w:szCs w:val="28"/>
        </w:rPr>
        <w:t xml:space="preserve">дминистрацию направляется на рассмотрение в </w:t>
      </w:r>
      <w:r w:rsidR="00A50F37" w:rsidRPr="00A50F37">
        <w:rPr>
          <w:rFonts w:ascii="Times New Roman" w:hAnsi="Times New Roman" w:cs="Times New Roman"/>
          <w:i/>
          <w:sz w:val="28"/>
          <w:szCs w:val="28"/>
        </w:rPr>
        <w:t>структурное подразделение (</w:t>
      </w:r>
      <w:r w:rsidRPr="00A50F37">
        <w:rPr>
          <w:rFonts w:ascii="Times New Roman" w:hAnsi="Times New Roman" w:cs="Times New Roman"/>
          <w:i/>
          <w:sz w:val="28"/>
          <w:szCs w:val="28"/>
        </w:rPr>
        <w:t>отдел</w:t>
      </w:r>
      <w:r w:rsidR="00A50F37" w:rsidRPr="00A50F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5853" w:rsidRPr="00A50F37">
        <w:rPr>
          <w:rFonts w:ascii="Times New Roman" w:hAnsi="Times New Roman" w:cs="Times New Roman"/>
          <w:i/>
          <w:sz w:val="28"/>
          <w:szCs w:val="28"/>
        </w:rPr>
        <w:t>сектор)</w:t>
      </w:r>
      <w:r w:rsidRPr="00A50F37">
        <w:rPr>
          <w:rFonts w:ascii="Times New Roman" w:hAnsi="Times New Roman" w:cs="Times New Roman"/>
          <w:i/>
          <w:sz w:val="28"/>
          <w:szCs w:val="28"/>
        </w:rPr>
        <w:t xml:space="preserve"> имущественных и земельных отношений</w:t>
      </w:r>
      <w:r w:rsidRPr="007612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58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0F37">
        <w:rPr>
          <w:rFonts w:ascii="Times New Roman" w:hAnsi="Times New Roman" w:cs="Times New Roman"/>
          <w:sz w:val="28"/>
          <w:szCs w:val="28"/>
        </w:rPr>
        <w:t>–</w:t>
      </w:r>
      <w:r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="00A50F3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612D2">
        <w:rPr>
          <w:rFonts w:ascii="Times New Roman" w:hAnsi="Times New Roman" w:cs="Times New Roman"/>
          <w:sz w:val="28"/>
          <w:szCs w:val="28"/>
        </w:rPr>
        <w:t>).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3.2. </w:t>
      </w:r>
      <w:r w:rsidR="00A50F3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50F37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 xml:space="preserve">рассматривает документы, указанные в </w:t>
      </w:r>
      <w:hyperlink w:anchor="P56" w:history="1"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15 рабочих дней со дня получения.</w:t>
      </w:r>
    </w:p>
    <w:p w:rsidR="007612D2" w:rsidRPr="007612D2" w:rsidRDefault="00A50F37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7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в сфере </w:t>
      </w:r>
      <w:r>
        <w:rPr>
          <w:rFonts w:ascii="Times New Roman" w:hAnsi="Times New Roman" w:cs="Times New Roman"/>
          <w:i/>
          <w:sz w:val="28"/>
          <w:szCs w:val="28"/>
        </w:rPr>
        <w:t xml:space="preserve">экономики и </w:t>
      </w:r>
      <w:r w:rsidRPr="00A50F37">
        <w:rPr>
          <w:rFonts w:ascii="Times New Roman" w:hAnsi="Times New Roman" w:cs="Times New Roman"/>
          <w:i/>
          <w:sz w:val="28"/>
          <w:szCs w:val="28"/>
        </w:rPr>
        <w:t>финансов (сектор, отдел, главный бухгалтер)</w:t>
      </w:r>
      <w:r w:rsidR="007612D2" w:rsidRPr="007612D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F7629">
        <w:rPr>
          <w:rFonts w:ascii="Times New Roman" w:hAnsi="Times New Roman" w:cs="Times New Roman"/>
          <w:sz w:val="28"/>
          <w:szCs w:val="28"/>
        </w:rPr>
        <w:t>О</w:t>
      </w:r>
      <w:r w:rsidR="007612D2" w:rsidRPr="007612D2">
        <w:rPr>
          <w:rFonts w:ascii="Times New Roman" w:hAnsi="Times New Roman" w:cs="Times New Roman"/>
          <w:sz w:val="28"/>
          <w:szCs w:val="28"/>
        </w:rPr>
        <w:t>тдел экономического развития) рассматривает представленные документы и в течение 10 рабочих дней готовит заключение, содержащее финансово-экономическое обоснование целесообразности, объема и направлений использования привлекаемых средств.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3.3. В случае предоставления документов не в полном объеме они возвращаются муниципальному унитарному предприятию в течение 7 рабочих дней со дня получения.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3.4. В случае отсутствия оснований, предусмотренных </w:t>
      </w:r>
      <w:hyperlink w:anchor="P109" w:history="1"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>п. 3.7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F762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612D2">
        <w:rPr>
          <w:rFonts w:ascii="Times New Roman" w:hAnsi="Times New Roman" w:cs="Times New Roman"/>
          <w:sz w:val="28"/>
          <w:szCs w:val="28"/>
        </w:rPr>
        <w:t xml:space="preserve"> готовит в Совет проект решения либо проект постановления </w:t>
      </w:r>
      <w:r w:rsidR="00CE5B60">
        <w:rPr>
          <w:rFonts w:ascii="Times New Roman" w:hAnsi="Times New Roman" w:cs="Times New Roman"/>
          <w:sz w:val="28"/>
          <w:szCs w:val="28"/>
        </w:rPr>
        <w:t>А</w:t>
      </w:r>
      <w:r w:rsidRPr="007612D2">
        <w:rPr>
          <w:rFonts w:ascii="Times New Roman" w:hAnsi="Times New Roman" w:cs="Times New Roman"/>
          <w:sz w:val="28"/>
          <w:szCs w:val="28"/>
        </w:rPr>
        <w:t>дминистрации о согласовании заимствований.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3.5. С целью рассмотрения проекта решения о согласовании заимствований муниципальным унитарным предприятием </w:t>
      </w:r>
      <w:r w:rsidR="00DF7629">
        <w:rPr>
          <w:rFonts w:ascii="Times New Roman" w:hAnsi="Times New Roman" w:cs="Times New Roman"/>
          <w:sz w:val="28"/>
          <w:szCs w:val="28"/>
        </w:rPr>
        <w:t>А</w:t>
      </w:r>
      <w:r w:rsidRPr="007612D2">
        <w:rPr>
          <w:rFonts w:ascii="Times New Roman" w:hAnsi="Times New Roman" w:cs="Times New Roman"/>
          <w:sz w:val="28"/>
          <w:szCs w:val="28"/>
        </w:rPr>
        <w:t>дминистрация направляет в Совет: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1) копии документов, указанных в </w:t>
      </w:r>
      <w:hyperlink w:anchor="P60" w:history="1"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>п. 2.2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2) экономическое обоснование </w:t>
      </w:r>
      <w:r w:rsidR="00DF7629">
        <w:rPr>
          <w:rFonts w:ascii="Times New Roman" w:hAnsi="Times New Roman" w:cs="Times New Roman"/>
          <w:sz w:val="28"/>
          <w:szCs w:val="28"/>
        </w:rPr>
        <w:t>О</w:t>
      </w:r>
      <w:r w:rsidRPr="007612D2">
        <w:rPr>
          <w:rFonts w:ascii="Times New Roman" w:hAnsi="Times New Roman" w:cs="Times New Roman"/>
          <w:sz w:val="28"/>
          <w:szCs w:val="28"/>
        </w:rPr>
        <w:t>тдела экономического развития.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3.6. Решение о согласовании заимствования муниципальным унитарным предприятием должно содержать следующую информацию: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1) наименование муниципального унитарного предприятия;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2) наименование кредитора;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3) размер и форму заимствования;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4) процентную ставку;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5) срок заимствования;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6) направление использования средств заимствования;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7) способ обеспечения исполнения обязательств и его характеристика (при залоговом обеспечении кредита - наименование, количество, балансовая и залоговая стоимость закладываемого имущества);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8) экономическое обоснование целесообразности привлечения средств;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9) срок предоставления информации в Совет или </w:t>
      </w:r>
      <w:r w:rsidR="00DF7629">
        <w:rPr>
          <w:rFonts w:ascii="Times New Roman" w:hAnsi="Times New Roman" w:cs="Times New Roman"/>
          <w:sz w:val="28"/>
          <w:szCs w:val="28"/>
        </w:rPr>
        <w:t>А</w:t>
      </w:r>
      <w:r w:rsidRPr="007612D2">
        <w:rPr>
          <w:rFonts w:ascii="Times New Roman" w:hAnsi="Times New Roman" w:cs="Times New Roman"/>
          <w:sz w:val="28"/>
          <w:szCs w:val="28"/>
        </w:rPr>
        <w:t>дминистрацию об исполнении обязательств.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7612D2">
        <w:rPr>
          <w:rFonts w:ascii="Times New Roman" w:hAnsi="Times New Roman" w:cs="Times New Roman"/>
          <w:sz w:val="28"/>
          <w:szCs w:val="28"/>
        </w:rPr>
        <w:t>3.7. Основанием для отказа в согласовании заимствования является: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1) выявление в представленных документах неполных, необоснованных или недостоверных сведений;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lastRenderedPageBreak/>
        <w:t>2) отсутствие экономической целесообразности и (или) эффективности совершения муниципальным унитарным предприятием заимствования;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3) возбуждение в отношении муниципального унитарного предприятия арбитражным судом дела о несостоятельности (банкротстве);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4) несоответствие направления заимствования видам деятельности, предусмотренным уставом муниципального унитарного предприятия;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5) несоответствие заимствования федеральному законодательству и (или) законодательству </w:t>
      </w:r>
      <w:r w:rsidR="00CB26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612D2">
        <w:rPr>
          <w:rFonts w:ascii="Times New Roman" w:hAnsi="Times New Roman" w:cs="Times New Roman"/>
          <w:sz w:val="28"/>
          <w:szCs w:val="28"/>
        </w:rPr>
        <w:t>;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6) предоставление муниципальным унитарным предприятием обращения с нарушением требований, установленных настоящим Положением.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3.8. Решение о согласовании заимствования, за исключением решения о размещении облигаций, действует в течение 90 рабочих дней со дня вступления в силу. В течение указанного срока заключается договор о заимствовании.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3.9. Решение о согласовании заимствования путем размещения облигаций действует в течение 14 месяцев со дня вступления в силу.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3.10. Муниципальное унитарное предприятие, осуществившее заимствование в форме кредита в кредитной организации, обязано в течение 3 рабочих дней со дня заключения договора о заимствовании направить в </w:t>
      </w:r>
      <w:r w:rsidR="00314D4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14D40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>копию такого договора.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3.11. Муниципальное унитарное предприятие, осуществившее заимствование путем размещения облигаций или выдачи векселя, обязано в течение трех рабочих дней со дня совершения соответствующих действий направить в </w:t>
      </w:r>
      <w:r w:rsidR="00314D4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612D2">
        <w:rPr>
          <w:rFonts w:ascii="Times New Roman" w:hAnsi="Times New Roman" w:cs="Times New Roman"/>
          <w:sz w:val="28"/>
          <w:szCs w:val="28"/>
        </w:rPr>
        <w:t xml:space="preserve"> информацию о размещении облигаций, выдаче векселя.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3.12. Муниципальное унитарное предприятие обязано в течение 3 рабочих дней письменно сообщить в </w:t>
      </w:r>
      <w:r w:rsidR="00314D4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14D40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>о полном или частичном досрочном исполнении своих обязательств по договору о заимствовании, а также в случае уступки кредитором права требования третьему лицу.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3.13. Муниципальное унитарное предприятие обязано немедленно письменно сообщить в </w:t>
      </w:r>
      <w:r w:rsidR="00314D4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14D40" w:rsidRPr="007612D2">
        <w:rPr>
          <w:rFonts w:ascii="Times New Roman" w:hAnsi="Times New Roman" w:cs="Times New Roman"/>
          <w:sz w:val="28"/>
          <w:szCs w:val="28"/>
        </w:rPr>
        <w:t xml:space="preserve"> </w:t>
      </w:r>
      <w:r w:rsidRPr="007612D2">
        <w:rPr>
          <w:rFonts w:ascii="Times New Roman" w:hAnsi="Times New Roman" w:cs="Times New Roman"/>
          <w:sz w:val="28"/>
          <w:szCs w:val="28"/>
        </w:rPr>
        <w:t>о нарушении условий договора о заимствовании.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IV. ПРОДЛЕНИЕ ДОГОВОРА О ЗАИМСТВОВАНИИ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4.1. Для продления договора о заимствовании на новый срок, изменения иных существенных условий договора или перевода долга на третье лицо муниципальному унитарному предприятию необходимо получить в порядке, установленном настоящим Положением, предварительное согласование органа, принявшего первоначальное решение о согласовании заимствования.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5.1. В месячный срок со дня получения кредита муниципальное унитарное предприятие представляет в </w:t>
      </w:r>
      <w:r w:rsidR="00610B0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10B04" w:rsidRPr="007612D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9" w:history="1"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о целевом использовании кредитных ресурсов согласно Приложению </w:t>
      </w:r>
      <w:r w:rsidR="00610B04">
        <w:rPr>
          <w:rFonts w:ascii="Times New Roman" w:hAnsi="Times New Roman" w:cs="Times New Roman"/>
          <w:sz w:val="28"/>
          <w:szCs w:val="28"/>
        </w:rPr>
        <w:t>№</w:t>
      </w:r>
      <w:r w:rsidRPr="007612D2">
        <w:rPr>
          <w:rFonts w:ascii="Times New Roman" w:hAnsi="Times New Roman" w:cs="Times New Roman"/>
          <w:sz w:val="28"/>
          <w:szCs w:val="28"/>
        </w:rPr>
        <w:t xml:space="preserve"> 1.</w:t>
      </w:r>
      <w:r w:rsidR="0061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5.2. Ежемесячно к 10 числу месяца, следующего за отчетным периодом, муниципальное унитарное предприятие представляет в </w:t>
      </w:r>
      <w:r w:rsidR="00610B0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10B04" w:rsidRPr="007612D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4" w:history="1"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о погашении задолженности по кредиту и процентам за пользование им с отметкой о согласовании с кредитной организацией согласно Приложению </w:t>
      </w:r>
      <w:r w:rsidR="00610B04">
        <w:rPr>
          <w:rFonts w:ascii="Times New Roman" w:hAnsi="Times New Roman" w:cs="Times New Roman"/>
          <w:sz w:val="28"/>
          <w:szCs w:val="28"/>
        </w:rPr>
        <w:t>№</w:t>
      </w:r>
      <w:r w:rsidRPr="007612D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5.3. Ежемесячно к 10 числу месяца, следующего за отчетным периодом, </w:t>
      </w:r>
      <w:r w:rsidRPr="007612D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унитарное предприятие представляет в </w:t>
      </w:r>
      <w:r w:rsidR="00610B0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612D2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5" w:history="1"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о погашении задолженности по облигациям согласно Приложению </w:t>
      </w:r>
      <w:r w:rsidR="00610B04">
        <w:rPr>
          <w:rFonts w:ascii="Times New Roman" w:hAnsi="Times New Roman" w:cs="Times New Roman"/>
          <w:sz w:val="28"/>
          <w:szCs w:val="28"/>
        </w:rPr>
        <w:t>№</w:t>
      </w:r>
      <w:r w:rsidRPr="007612D2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5.4. По окончании срока обязательства по выплате займа муниципальное унитарное предприятие представляет в </w:t>
      </w:r>
      <w:r w:rsidR="00610B0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612D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1" w:history="1">
        <w:r w:rsidRPr="007612D2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7612D2">
        <w:rPr>
          <w:rFonts w:ascii="Times New Roman" w:hAnsi="Times New Roman" w:cs="Times New Roman"/>
          <w:sz w:val="28"/>
          <w:szCs w:val="28"/>
        </w:rPr>
        <w:t xml:space="preserve"> о погашении задолженности по векселю согласно Приложению </w:t>
      </w:r>
      <w:r w:rsidR="00610B04">
        <w:rPr>
          <w:rFonts w:ascii="Times New Roman" w:hAnsi="Times New Roman" w:cs="Times New Roman"/>
          <w:sz w:val="28"/>
          <w:szCs w:val="28"/>
        </w:rPr>
        <w:t>№</w:t>
      </w:r>
      <w:r w:rsidRPr="007612D2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7612D2">
        <w:rPr>
          <w:rFonts w:ascii="Times New Roman" w:hAnsi="Times New Roman" w:cs="Times New Roman"/>
          <w:sz w:val="28"/>
          <w:szCs w:val="28"/>
        </w:rPr>
        <w:t xml:space="preserve">По исполнении обязательства по выплате займа муниципальное унитарное предприятие обязано представить в течение 10 дней в </w:t>
      </w:r>
      <w:r w:rsidR="00610B0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612D2">
        <w:rPr>
          <w:rFonts w:ascii="Times New Roman" w:hAnsi="Times New Roman" w:cs="Times New Roman"/>
          <w:sz w:val="28"/>
          <w:szCs w:val="28"/>
        </w:rPr>
        <w:t xml:space="preserve"> выдаваемую займодавцем копию соответствующего документа, подтверждающего факт прекращения обязательств, а также в случае, если обязательства по договору заимствования исполнены поручителями предприятия, копию документа, подтверждающего факт прекращения обязательств между муниципальным унитарным предприятием и поручителями.</w:t>
      </w:r>
      <w:proofErr w:type="gramEnd"/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5.6. Муниципальное унитарное предприятие, о результатах исполнения взятых обязательств в течение 5 дней извещает Совет или </w:t>
      </w:r>
      <w:r w:rsidR="00610B04">
        <w:rPr>
          <w:rFonts w:ascii="Times New Roman" w:hAnsi="Times New Roman" w:cs="Times New Roman"/>
          <w:sz w:val="28"/>
          <w:szCs w:val="28"/>
        </w:rPr>
        <w:t>А</w:t>
      </w:r>
      <w:r w:rsidRPr="007612D2">
        <w:rPr>
          <w:rFonts w:ascii="Times New Roman" w:hAnsi="Times New Roman" w:cs="Times New Roman"/>
          <w:sz w:val="28"/>
          <w:szCs w:val="28"/>
        </w:rPr>
        <w:t>дминистрацию с приложением подтверждающих документов.</w:t>
      </w:r>
    </w:p>
    <w:p w:rsidR="007612D2" w:rsidRPr="007612D2" w:rsidRDefault="007612D2" w:rsidP="0076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7612D2">
        <w:rPr>
          <w:rFonts w:ascii="Times New Roman" w:hAnsi="Times New Roman" w:cs="Times New Roman"/>
          <w:sz w:val="28"/>
          <w:szCs w:val="28"/>
        </w:rPr>
        <w:t>Руководители и должностные лица муниципальных унитарных предприятий несут персональную ответственность за нарушение или ненадлежащее исполнение требований настоящего Положения с соответствии с законодательством.</w:t>
      </w:r>
      <w:proofErr w:type="gramEnd"/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rPr>
          <w:sz w:val="28"/>
          <w:szCs w:val="28"/>
        </w:rPr>
        <w:sectPr w:rsidR="007612D2" w:rsidRPr="007612D2" w:rsidSect="000F65C7">
          <w:pgSz w:w="11906" w:h="16838"/>
          <w:pgMar w:top="426" w:right="567" w:bottom="567" w:left="1418" w:header="709" w:footer="709" w:gutter="0"/>
          <w:cols w:space="708"/>
          <w:docGrid w:linePitch="360"/>
        </w:sectPr>
      </w:pPr>
    </w:p>
    <w:p w:rsidR="007612D2" w:rsidRPr="000F65C7" w:rsidRDefault="007612D2" w:rsidP="007612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10B04" w:rsidRPr="000F65C7">
        <w:rPr>
          <w:rFonts w:ascii="Times New Roman" w:hAnsi="Times New Roman" w:cs="Times New Roman"/>
          <w:sz w:val="24"/>
          <w:szCs w:val="24"/>
        </w:rPr>
        <w:t>№</w:t>
      </w:r>
      <w:r w:rsidRPr="000F65C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612D2" w:rsidRPr="000F65C7" w:rsidRDefault="007612D2" w:rsidP="007612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>к Положению</w:t>
      </w:r>
    </w:p>
    <w:p w:rsidR="007612D2" w:rsidRPr="000F65C7" w:rsidRDefault="007612D2" w:rsidP="007612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>о порядке осуществления заимствований</w:t>
      </w:r>
    </w:p>
    <w:p w:rsidR="007612D2" w:rsidRPr="000F65C7" w:rsidRDefault="007612D2" w:rsidP="007612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>муниципальными унитарными</w:t>
      </w:r>
    </w:p>
    <w:p w:rsidR="00CB2644" w:rsidRDefault="007612D2" w:rsidP="00CB26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65C7">
        <w:rPr>
          <w:rFonts w:ascii="Times New Roman" w:hAnsi="Times New Roman" w:cs="Times New Roman"/>
          <w:sz w:val="24"/>
          <w:szCs w:val="24"/>
        </w:rPr>
        <w:t xml:space="preserve">предприятиями </w:t>
      </w:r>
      <w:r w:rsidR="00610B04" w:rsidRPr="000F65C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10B04" w:rsidRPr="000F65C7">
        <w:rPr>
          <w:rFonts w:ascii="Times New Roman" w:hAnsi="Times New Roman" w:cs="Times New Roman"/>
          <w:sz w:val="24"/>
          <w:szCs w:val="24"/>
        </w:rPr>
        <w:br/>
        <w:t>образования</w:t>
      </w:r>
      <w:r w:rsidR="000F65C7" w:rsidRPr="000F65C7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P149"/>
      <w:bookmarkEnd w:id="5"/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2D2" w:rsidRPr="007612D2" w:rsidRDefault="007612D2" w:rsidP="00CB26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ОТЧЕТ О ЦЕЛЕВОМ ИСПОЛЬЗОВАНИИ КРЕДИТНЫХ РЕСУРСОВ</w:t>
      </w:r>
    </w:p>
    <w:p w:rsidR="007612D2" w:rsidRPr="007612D2" w:rsidRDefault="000F65C7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12D2" w:rsidRPr="007612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612D2" w:rsidRPr="00DA582E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82E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по состоянию на ______________ 20__ года</w:t>
      </w:r>
    </w:p>
    <w:p w:rsidR="007612D2" w:rsidRPr="00DA582E" w:rsidRDefault="007612D2" w:rsidP="000F65C7">
      <w:pPr>
        <w:pStyle w:val="ConsPlusNonformat"/>
        <w:jc w:val="center"/>
        <w:rPr>
          <w:rFonts w:ascii="Times New Roman" w:hAnsi="Times New Roman" w:cs="Times New Roman"/>
        </w:rPr>
      </w:pPr>
      <w:r w:rsidRPr="00DA582E">
        <w:rPr>
          <w:rFonts w:ascii="Times New Roman" w:hAnsi="Times New Roman" w:cs="Times New Roman"/>
        </w:rPr>
        <w:t>(дата)</w:t>
      </w:r>
    </w:p>
    <w:p w:rsidR="007612D2" w:rsidRPr="007612D2" w:rsidRDefault="007612D2" w:rsidP="000F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665"/>
        <w:gridCol w:w="2494"/>
        <w:gridCol w:w="1984"/>
      </w:tblGrid>
      <w:tr w:rsidR="007612D2" w:rsidRPr="007612D2" w:rsidTr="000F65C7">
        <w:tc>
          <w:tcPr>
            <w:tcW w:w="2494" w:type="dxa"/>
            <w:vAlign w:val="center"/>
          </w:tcPr>
          <w:p w:rsidR="007612D2" w:rsidRPr="007612D2" w:rsidRDefault="00DA582E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12D2" w:rsidRPr="007612D2">
              <w:rPr>
                <w:rFonts w:ascii="Times New Roman" w:hAnsi="Times New Roman" w:cs="Times New Roman"/>
                <w:sz w:val="28"/>
                <w:szCs w:val="28"/>
              </w:rPr>
              <w:t xml:space="preserve"> платежного документа</w:t>
            </w:r>
          </w:p>
        </w:tc>
        <w:tc>
          <w:tcPr>
            <w:tcW w:w="2665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Дата перечисления</w:t>
            </w:r>
          </w:p>
        </w:tc>
        <w:tc>
          <w:tcPr>
            <w:tcW w:w="249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Направления использования</w:t>
            </w:r>
          </w:p>
        </w:tc>
        <w:tc>
          <w:tcPr>
            <w:tcW w:w="198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612D2" w:rsidRPr="007612D2" w:rsidTr="000F65C7">
        <w:trPr>
          <w:trHeight w:val="194"/>
        </w:trPr>
        <w:tc>
          <w:tcPr>
            <w:tcW w:w="249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12D2" w:rsidRPr="007612D2" w:rsidTr="000F65C7">
        <w:tc>
          <w:tcPr>
            <w:tcW w:w="249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D2" w:rsidRPr="007612D2" w:rsidTr="000F65C7">
        <w:tc>
          <w:tcPr>
            <w:tcW w:w="249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D2" w:rsidRPr="007612D2" w:rsidTr="000F65C7">
        <w:tc>
          <w:tcPr>
            <w:tcW w:w="7653" w:type="dxa"/>
            <w:gridSpan w:val="3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2D2" w:rsidRPr="007612D2" w:rsidRDefault="007612D2" w:rsidP="000F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Руководитель:       _______________________________  (расшифровка подписи)</w:t>
      </w:r>
    </w:p>
    <w:p w:rsidR="007612D2" w:rsidRPr="00DA582E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82E">
        <w:rPr>
          <w:rFonts w:ascii="Times New Roman" w:hAnsi="Times New Roman" w:cs="Times New Roman"/>
          <w:sz w:val="24"/>
          <w:szCs w:val="24"/>
        </w:rPr>
        <w:t>(подпись)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Главный бухгалтер:  _______________________________  (расшифровка подписи)</w:t>
      </w:r>
    </w:p>
    <w:p w:rsidR="007612D2" w:rsidRPr="00DA582E" w:rsidRDefault="007612D2" w:rsidP="00761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82E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  <w:r w:rsidR="000F65C7" w:rsidRPr="000F65C7">
        <w:rPr>
          <w:rFonts w:ascii="Times New Roman" w:hAnsi="Times New Roman" w:cs="Times New Roman"/>
          <w:sz w:val="24"/>
          <w:szCs w:val="24"/>
        </w:rPr>
        <w:t xml:space="preserve"> </w:t>
      </w:r>
      <w:r w:rsidR="000F6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F65C7" w:rsidRPr="00DA582E">
        <w:rPr>
          <w:rFonts w:ascii="Times New Roman" w:hAnsi="Times New Roman" w:cs="Times New Roman"/>
          <w:sz w:val="24"/>
          <w:szCs w:val="24"/>
        </w:rPr>
        <w:t>(подпись)</w:t>
      </w:r>
    </w:p>
    <w:p w:rsidR="00F303CA" w:rsidRDefault="00F303CA" w:rsidP="007612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03CA" w:rsidRDefault="00F303CA" w:rsidP="007612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5C7" w:rsidRDefault="000F65C7" w:rsidP="007612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5C7" w:rsidRDefault="000F65C7" w:rsidP="007612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5C7" w:rsidRDefault="000F65C7" w:rsidP="007612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12D2" w:rsidRPr="000F65C7" w:rsidRDefault="007612D2" w:rsidP="007612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A582E" w:rsidRPr="000F65C7">
        <w:rPr>
          <w:rFonts w:ascii="Times New Roman" w:hAnsi="Times New Roman" w:cs="Times New Roman"/>
          <w:sz w:val="24"/>
          <w:szCs w:val="24"/>
        </w:rPr>
        <w:t>№</w:t>
      </w:r>
      <w:r w:rsidRPr="000F65C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5011D" w:rsidRPr="000F65C7" w:rsidRDefault="00DA582E" w:rsidP="00DA58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lastRenderedPageBreak/>
        <w:t>к Положению</w:t>
      </w:r>
      <w:r w:rsidR="00F303CA" w:rsidRPr="000F65C7">
        <w:rPr>
          <w:rFonts w:ascii="Times New Roman" w:hAnsi="Times New Roman" w:cs="Times New Roman"/>
          <w:sz w:val="24"/>
          <w:szCs w:val="24"/>
        </w:rPr>
        <w:t xml:space="preserve"> </w:t>
      </w:r>
      <w:r w:rsidRPr="000F65C7">
        <w:rPr>
          <w:rFonts w:ascii="Times New Roman" w:hAnsi="Times New Roman" w:cs="Times New Roman"/>
          <w:sz w:val="24"/>
          <w:szCs w:val="24"/>
        </w:rPr>
        <w:t xml:space="preserve">о порядке осуществления </w:t>
      </w:r>
    </w:p>
    <w:p w:rsidR="00DA582E" w:rsidRPr="000F65C7" w:rsidRDefault="00DA582E" w:rsidP="00DA58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>заимствований</w:t>
      </w:r>
      <w:r w:rsidR="0015011D" w:rsidRPr="000F6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5C7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0F65C7">
        <w:rPr>
          <w:rFonts w:ascii="Times New Roman" w:hAnsi="Times New Roman" w:cs="Times New Roman"/>
          <w:sz w:val="24"/>
          <w:szCs w:val="24"/>
        </w:rPr>
        <w:t xml:space="preserve"> унитарными</w:t>
      </w:r>
    </w:p>
    <w:p w:rsidR="00DA582E" w:rsidRPr="000F65C7" w:rsidRDefault="00DA582E" w:rsidP="00DA58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 xml:space="preserve">предприятиями муниципального </w:t>
      </w:r>
      <w:r w:rsidRPr="000F65C7">
        <w:rPr>
          <w:rFonts w:ascii="Times New Roman" w:hAnsi="Times New Roman" w:cs="Times New Roman"/>
          <w:sz w:val="24"/>
          <w:szCs w:val="24"/>
        </w:rPr>
        <w:br/>
        <w:t xml:space="preserve">образования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94"/>
      <w:bookmarkEnd w:id="6"/>
      <w:r w:rsidRPr="007612D2">
        <w:rPr>
          <w:rFonts w:ascii="Times New Roman" w:hAnsi="Times New Roman" w:cs="Times New Roman"/>
          <w:sz w:val="28"/>
          <w:szCs w:val="28"/>
        </w:rPr>
        <w:t>ОТЧЕТ О ПОГАШЕНИИ ЗАДОЛЖЕННОСТИ ПО КРЕДИТУ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И ПРОЦЕНТАМ ЗА ПОЛЬЗОВАНИЕ ИМ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________________________________________________________________________</w:t>
      </w:r>
    </w:p>
    <w:p w:rsidR="007612D2" w:rsidRPr="00F303CA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3CA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по состоянию на _____________ 20__ года</w:t>
      </w:r>
    </w:p>
    <w:p w:rsid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3CA">
        <w:rPr>
          <w:rFonts w:ascii="Times New Roman" w:hAnsi="Times New Roman" w:cs="Times New Roman"/>
          <w:sz w:val="24"/>
          <w:szCs w:val="24"/>
        </w:rPr>
        <w:t>(дата)</w:t>
      </w:r>
    </w:p>
    <w:p w:rsidR="000F65C7" w:rsidRPr="00F303CA" w:rsidRDefault="000F65C7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5"/>
        <w:gridCol w:w="1046"/>
        <w:gridCol w:w="997"/>
        <w:gridCol w:w="802"/>
        <w:gridCol w:w="2268"/>
        <w:gridCol w:w="2126"/>
        <w:gridCol w:w="1134"/>
        <w:gridCol w:w="2126"/>
      </w:tblGrid>
      <w:tr w:rsidR="007612D2" w:rsidRPr="007612D2" w:rsidTr="000F65C7">
        <w:tc>
          <w:tcPr>
            <w:tcW w:w="1045" w:type="dxa"/>
            <w:vMerge w:val="restart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Дата договора</w:t>
            </w:r>
          </w:p>
        </w:tc>
        <w:tc>
          <w:tcPr>
            <w:tcW w:w="1046" w:type="dxa"/>
            <w:vMerge w:val="restart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  <w:tc>
          <w:tcPr>
            <w:tcW w:w="997" w:type="dxa"/>
            <w:vMerge w:val="restart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Сумма кредита, руб.</w:t>
            </w:r>
          </w:p>
        </w:tc>
        <w:tc>
          <w:tcPr>
            <w:tcW w:w="802" w:type="dxa"/>
            <w:vMerge w:val="restart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Дата получения</w:t>
            </w:r>
          </w:p>
        </w:tc>
        <w:tc>
          <w:tcPr>
            <w:tcW w:w="2268" w:type="dxa"/>
            <w:vMerge w:val="restart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Сумма денежных средств, перечисленных по кредиту, руб.</w:t>
            </w:r>
          </w:p>
        </w:tc>
        <w:tc>
          <w:tcPr>
            <w:tcW w:w="2126" w:type="dxa"/>
            <w:vMerge w:val="restart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Сумма процентов, перечисленных за пользование кредитом, руб.</w:t>
            </w:r>
          </w:p>
        </w:tc>
        <w:tc>
          <w:tcPr>
            <w:tcW w:w="3260" w:type="dxa"/>
            <w:gridSpan w:val="2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Задолженность, руб.</w:t>
            </w:r>
          </w:p>
        </w:tc>
      </w:tr>
      <w:tr w:rsidR="007612D2" w:rsidRPr="007612D2" w:rsidTr="000F65C7">
        <w:tc>
          <w:tcPr>
            <w:tcW w:w="1045" w:type="dxa"/>
            <w:vMerge/>
          </w:tcPr>
          <w:p w:rsidR="007612D2" w:rsidRPr="007612D2" w:rsidRDefault="007612D2" w:rsidP="000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7612D2" w:rsidRPr="007612D2" w:rsidRDefault="007612D2" w:rsidP="000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7612D2" w:rsidRPr="007612D2" w:rsidRDefault="007612D2" w:rsidP="000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7612D2" w:rsidRPr="007612D2" w:rsidRDefault="007612D2" w:rsidP="000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12D2" w:rsidRPr="007612D2" w:rsidRDefault="007612D2" w:rsidP="000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612D2" w:rsidRPr="007612D2" w:rsidRDefault="007612D2" w:rsidP="000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по кредиту</w:t>
            </w:r>
          </w:p>
        </w:tc>
        <w:tc>
          <w:tcPr>
            <w:tcW w:w="2126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по процентам за пользование кредитом</w:t>
            </w:r>
          </w:p>
        </w:tc>
      </w:tr>
      <w:tr w:rsidR="007612D2" w:rsidRPr="007612D2" w:rsidTr="000F65C7">
        <w:tc>
          <w:tcPr>
            <w:tcW w:w="1045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12D2" w:rsidRPr="007612D2" w:rsidTr="000F65C7">
        <w:trPr>
          <w:trHeight w:val="260"/>
        </w:trPr>
        <w:tc>
          <w:tcPr>
            <w:tcW w:w="1045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D2" w:rsidRPr="007612D2" w:rsidTr="000F65C7">
        <w:tc>
          <w:tcPr>
            <w:tcW w:w="1045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D2" w:rsidRPr="007612D2" w:rsidTr="000F65C7">
        <w:tc>
          <w:tcPr>
            <w:tcW w:w="1045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2D2" w:rsidRPr="007612D2" w:rsidRDefault="007612D2" w:rsidP="000F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Руководитель:        _______________________________ (расшифровка подписи)</w:t>
      </w:r>
    </w:p>
    <w:p w:rsidR="007612D2" w:rsidRPr="00F303CA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3CA">
        <w:rPr>
          <w:rFonts w:ascii="Times New Roman" w:hAnsi="Times New Roman" w:cs="Times New Roman"/>
          <w:sz w:val="24"/>
          <w:szCs w:val="24"/>
        </w:rPr>
        <w:t>(подпись)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Главный бухгалтер:   _______________________________ (расшифровка подписи)</w:t>
      </w:r>
    </w:p>
    <w:p w:rsidR="007612D2" w:rsidRPr="00F303CA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3CA">
        <w:rPr>
          <w:rFonts w:ascii="Times New Roman" w:hAnsi="Times New Roman" w:cs="Times New Roman"/>
          <w:sz w:val="24"/>
          <w:szCs w:val="24"/>
        </w:rPr>
        <w:t>(подпись) М.П.</w:t>
      </w:r>
    </w:p>
    <w:p w:rsidR="007612D2" w:rsidRPr="007612D2" w:rsidRDefault="007612D2" w:rsidP="000F65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612D2" w:rsidRDefault="007612D2" w:rsidP="000F65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с кредитной организацией</w:t>
      </w:r>
    </w:p>
    <w:p w:rsidR="000F65C7" w:rsidRDefault="000F65C7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65C7" w:rsidRPr="007612D2" w:rsidRDefault="000F65C7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12D2" w:rsidRPr="000F65C7" w:rsidRDefault="007612D2" w:rsidP="007612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011D" w:rsidRPr="000F65C7">
        <w:rPr>
          <w:rFonts w:ascii="Times New Roman" w:hAnsi="Times New Roman" w:cs="Times New Roman"/>
          <w:sz w:val="24"/>
          <w:szCs w:val="24"/>
        </w:rPr>
        <w:t>№</w:t>
      </w:r>
      <w:r w:rsidRPr="000F65C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5011D" w:rsidRPr="000F65C7" w:rsidRDefault="00DA582E" w:rsidP="00DA58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lastRenderedPageBreak/>
        <w:t>к Положению</w:t>
      </w:r>
      <w:r w:rsidR="0015011D" w:rsidRPr="000F65C7">
        <w:rPr>
          <w:rFonts w:ascii="Times New Roman" w:hAnsi="Times New Roman" w:cs="Times New Roman"/>
          <w:sz w:val="24"/>
          <w:szCs w:val="24"/>
        </w:rPr>
        <w:t xml:space="preserve"> </w:t>
      </w:r>
      <w:r w:rsidRPr="000F65C7">
        <w:rPr>
          <w:rFonts w:ascii="Times New Roman" w:hAnsi="Times New Roman" w:cs="Times New Roman"/>
          <w:sz w:val="24"/>
          <w:szCs w:val="24"/>
        </w:rPr>
        <w:t xml:space="preserve">о порядке осуществления </w:t>
      </w:r>
    </w:p>
    <w:p w:rsidR="00DA582E" w:rsidRPr="000F65C7" w:rsidRDefault="00DA582E" w:rsidP="00DA58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>заимствований</w:t>
      </w:r>
      <w:r w:rsidR="0015011D" w:rsidRPr="000F6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5C7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0F65C7">
        <w:rPr>
          <w:rFonts w:ascii="Times New Roman" w:hAnsi="Times New Roman" w:cs="Times New Roman"/>
          <w:sz w:val="24"/>
          <w:szCs w:val="24"/>
        </w:rPr>
        <w:t xml:space="preserve"> унитарными</w:t>
      </w:r>
    </w:p>
    <w:p w:rsidR="00DA582E" w:rsidRPr="000F65C7" w:rsidRDefault="00DA582E" w:rsidP="00DA58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 xml:space="preserve">предприятиями муниципального </w:t>
      </w:r>
      <w:r w:rsidRPr="000F65C7">
        <w:rPr>
          <w:rFonts w:ascii="Times New Roman" w:hAnsi="Times New Roman" w:cs="Times New Roman"/>
          <w:sz w:val="24"/>
          <w:szCs w:val="24"/>
        </w:rPr>
        <w:br/>
        <w:t xml:space="preserve">образования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2D2" w:rsidRPr="007612D2" w:rsidRDefault="007612D2" w:rsidP="000F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5"/>
      <w:bookmarkEnd w:id="7"/>
      <w:r w:rsidRPr="007612D2">
        <w:rPr>
          <w:rFonts w:ascii="Times New Roman" w:hAnsi="Times New Roman" w:cs="Times New Roman"/>
          <w:sz w:val="28"/>
          <w:szCs w:val="28"/>
        </w:rPr>
        <w:t>ОТЧЕТ О ПОГАШЕНИИ ЗАДОЛЖЕННОСТИ ПО ОБЛИГАЦИЯМ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________________________________________________________________________</w:t>
      </w:r>
    </w:p>
    <w:p w:rsidR="007612D2" w:rsidRPr="0015011D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11D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по состоянию на ____________ 20__ года</w:t>
      </w:r>
    </w:p>
    <w:p w:rsidR="007612D2" w:rsidRPr="0015011D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11D">
        <w:rPr>
          <w:rFonts w:ascii="Times New Roman" w:hAnsi="Times New Roman" w:cs="Times New Roman"/>
          <w:sz w:val="24"/>
          <w:szCs w:val="24"/>
        </w:rPr>
        <w:t>(дата)</w:t>
      </w:r>
    </w:p>
    <w:p w:rsidR="007612D2" w:rsidRPr="007612D2" w:rsidRDefault="007612D2" w:rsidP="000F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0"/>
        <w:gridCol w:w="1312"/>
        <w:gridCol w:w="1404"/>
        <w:gridCol w:w="1985"/>
        <w:gridCol w:w="1984"/>
        <w:gridCol w:w="1418"/>
        <w:gridCol w:w="2409"/>
        <w:gridCol w:w="2552"/>
      </w:tblGrid>
      <w:tr w:rsidR="007612D2" w:rsidRPr="007612D2" w:rsidTr="0015011D">
        <w:tc>
          <w:tcPr>
            <w:tcW w:w="890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Вид облигации</w:t>
            </w:r>
          </w:p>
        </w:tc>
        <w:tc>
          <w:tcPr>
            <w:tcW w:w="131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Дата оформления облигации</w:t>
            </w:r>
          </w:p>
        </w:tc>
        <w:tc>
          <w:tcPr>
            <w:tcW w:w="140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облигации, руб.</w:t>
            </w:r>
          </w:p>
        </w:tc>
        <w:tc>
          <w:tcPr>
            <w:tcW w:w="1985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Срок погашения номинальной стоимости облигации</w:t>
            </w:r>
          </w:p>
        </w:tc>
        <w:tc>
          <w:tcPr>
            <w:tcW w:w="198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Процентная ставка по облигации, %</w:t>
            </w:r>
          </w:p>
        </w:tc>
        <w:tc>
          <w:tcPr>
            <w:tcW w:w="1418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Сумма процентов, руб.</w:t>
            </w:r>
          </w:p>
        </w:tc>
        <w:tc>
          <w:tcPr>
            <w:tcW w:w="240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Сумма задолженности процентов, руб.</w:t>
            </w:r>
          </w:p>
        </w:tc>
        <w:tc>
          <w:tcPr>
            <w:tcW w:w="255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Срок погашения процентов</w:t>
            </w:r>
          </w:p>
        </w:tc>
      </w:tr>
      <w:tr w:rsidR="007612D2" w:rsidRPr="007612D2" w:rsidTr="0015011D">
        <w:tc>
          <w:tcPr>
            <w:tcW w:w="890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12D2" w:rsidRPr="007612D2" w:rsidTr="0015011D">
        <w:tc>
          <w:tcPr>
            <w:tcW w:w="890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D2" w:rsidRPr="007612D2" w:rsidTr="0015011D">
        <w:tc>
          <w:tcPr>
            <w:tcW w:w="890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D2" w:rsidRPr="007612D2" w:rsidTr="0015011D">
        <w:tc>
          <w:tcPr>
            <w:tcW w:w="890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2D2" w:rsidRPr="007612D2" w:rsidRDefault="007612D2" w:rsidP="000F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Руководитель:        _______________________________ (расшифровка подписи)</w:t>
      </w:r>
    </w:p>
    <w:p w:rsidR="007612D2" w:rsidRPr="0015011D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11D">
        <w:rPr>
          <w:rFonts w:ascii="Times New Roman" w:hAnsi="Times New Roman" w:cs="Times New Roman"/>
          <w:sz w:val="24"/>
          <w:szCs w:val="24"/>
        </w:rPr>
        <w:t>(подпись)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Главный бухгалтер:   _______________________________ (расшифровка подписи)</w:t>
      </w:r>
    </w:p>
    <w:p w:rsidR="007612D2" w:rsidRPr="0015011D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11D">
        <w:rPr>
          <w:rFonts w:ascii="Times New Roman" w:hAnsi="Times New Roman" w:cs="Times New Roman"/>
          <w:sz w:val="24"/>
          <w:szCs w:val="24"/>
        </w:rPr>
        <w:t>М.П.</w:t>
      </w:r>
      <w:r w:rsidR="000F65C7" w:rsidRPr="000F65C7">
        <w:rPr>
          <w:rFonts w:ascii="Times New Roman" w:hAnsi="Times New Roman" w:cs="Times New Roman"/>
          <w:sz w:val="24"/>
          <w:szCs w:val="24"/>
        </w:rPr>
        <w:t xml:space="preserve"> </w:t>
      </w:r>
      <w:r w:rsidR="000F65C7" w:rsidRPr="0015011D">
        <w:rPr>
          <w:rFonts w:ascii="Times New Roman" w:hAnsi="Times New Roman" w:cs="Times New Roman"/>
          <w:sz w:val="24"/>
          <w:szCs w:val="24"/>
        </w:rPr>
        <w:t>(подпись)</w:t>
      </w:r>
    </w:p>
    <w:p w:rsid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5C7" w:rsidRDefault="000F65C7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5C7" w:rsidRPr="007612D2" w:rsidRDefault="000F65C7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76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2D2" w:rsidRPr="000F65C7" w:rsidRDefault="007612D2" w:rsidP="007612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011D" w:rsidRPr="000F65C7">
        <w:rPr>
          <w:rFonts w:ascii="Times New Roman" w:hAnsi="Times New Roman" w:cs="Times New Roman"/>
          <w:sz w:val="24"/>
          <w:szCs w:val="24"/>
        </w:rPr>
        <w:t>№</w:t>
      </w:r>
      <w:r w:rsidRPr="000F65C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5011D" w:rsidRPr="000F65C7" w:rsidRDefault="0015011D" w:rsidP="00150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331"/>
      <w:bookmarkEnd w:id="8"/>
      <w:r w:rsidRPr="000F65C7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порядке осуществления </w:t>
      </w:r>
    </w:p>
    <w:p w:rsidR="0015011D" w:rsidRPr="000F65C7" w:rsidRDefault="0015011D" w:rsidP="00150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proofErr w:type="gramStart"/>
      <w:r w:rsidRPr="000F65C7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0F65C7">
        <w:rPr>
          <w:rFonts w:ascii="Times New Roman" w:hAnsi="Times New Roman" w:cs="Times New Roman"/>
          <w:sz w:val="24"/>
          <w:szCs w:val="24"/>
        </w:rPr>
        <w:t xml:space="preserve"> унитарными</w:t>
      </w:r>
    </w:p>
    <w:p w:rsidR="0015011D" w:rsidRPr="000F65C7" w:rsidRDefault="0015011D" w:rsidP="00150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5C7">
        <w:rPr>
          <w:rFonts w:ascii="Times New Roman" w:hAnsi="Times New Roman" w:cs="Times New Roman"/>
          <w:sz w:val="24"/>
          <w:szCs w:val="24"/>
        </w:rPr>
        <w:t xml:space="preserve">предприятиями муниципального </w:t>
      </w:r>
      <w:r w:rsidRPr="000F65C7">
        <w:rPr>
          <w:rFonts w:ascii="Times New Roman" w:hAnsi="Times New Roman" w:cs="Times New Roman"/>
          <w:sz w:val="24"/>
          <w:szCs w:val="24"/>
        </w:rPr>
        <w:br/>
        <w:t xml:space="preserve">образования </w:t>
      </w:r>
      <w:r w:rsidR="00CB264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CB2644" w:rsidRPr="0076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11D" w:rsidRPr="007612D2" w:rsidRDefault="0015011D" w:rsidP="000F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ОТЧЕТ О ПОГАШЕНИИ ЗАДОЛЖЕННОСТИ ПО ВЕКСЕЛЮ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________________________________________________________________________</w:t>
      </w:r>
    </w:p>
    <w:p w:rsid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11D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0F65C7" w:rsidRPr="000F65C7" w:rsidRDefault="000F65C7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по состоянию на _______________ 20__ года</w:t>
      </w:r>
    </w:p>
    <w:p w:rsidR="007612D2" w:rsidRPr="0015011D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11D">
        <w:rPr>
          <w:rFonts w:ascii="Times New Roman" w:hAnsi="Times New Roman" w:cs="Times New Roman"/>
          <w:sz w:val="24"/>
          <w:szCs w:val="24"/>
        </w:rPr>
        <w:t>(дата)</w:t>
      </w:r>
    </w:p>
    <w:p w:rsidR="007612D2" w:rsidRPr="007612D2" w:rsidRDefault="007612D2" w:rsidP="000F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9"/>
        <w:gridCol w:w="1739"/>
        <w:gridCol w:w="1840"/>
        <w:gridCol w:w="2415"/>
        <w:gridCol w:w="1837"/>
      </w:tblGrid>
      <w:tr w:rsidR="007612D2" w:rsidRPr="007612D2" w:rsidTr="000F65C7">
        <w:tc>
          <w:tcPr>
            <w:tcW w:w="173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Дата векселя</w:t>
            </w:r>
          </w:p>
        </w:tc>
        <w:tc>
          <w:tcPr>
            <w:tcW w:w="173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Серия и номер векселя</w:t>
            </w:r>
          </w:p>
        </w:tc>
        <w:tc>
          <w:tcPr>
            <w:tcW w:w="1840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Вексельная сумма, руб.</w:t>
            </w:r>
          </w:p>
        </w:tc>
        <w:tc>
          <w:tcPr>
            <w:tcW w:w="2415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Местонахождение векселя</w:t>
            </w:r>
          </w:p>
        </w:tc>
        <w:tc>
          <w:tcPr>
            <w:tcW w:w="1837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Срок погашения вексельной суммы, руб.</w:t>
            </w:r>
          </w:p>
        </w:tc>
      </w:tr>
      <w:tr w:rsidR="007612D2" w:rsidRPr="007612D2" w:rsidTr="000F65C7">
        <w:tc>
          <w:tcPr>
            <w:tcW w:w="173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12D2" w:rsidRPr="007612D2" w:rsidTr="000F65C7">
        <w:tc>
          <w:tcPr>
            <w:tcW w:w="173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612D2" w:rsidRPr="007612D2" w:rsidRDefault="007612D2" w:rsidP="000F6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2D2" w:rsidRPr="007612D2" w:rsidRDefault="007612D2" w:rsidP="000F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Руководитель:        _______________________________ (расшифровка подписи)</w:t>
      </w:r>
    </w:p>
    <w:p w:rsidR="007612D2" w:rsidRPr="0015011D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11D">
        <w:rPr>
          <w:rFonts w:ascii="Times New Roman" w:hAnsi="Times New Roman" w:cs="Times New Roman"/>
          <w:sz w:val="24"/>
          <w:szCs w:val="24"/>
        </w:rPr>
        <w:t>(подпись)</w:t>
      </w:r>
    </w:p>
    <w:p w:rsidR="007612D2" w:rsidRPr="007612D2" w:rsidRDefault="007612D2" w:rsidP="000F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2D2">
        <w:rPr>
          <w:rFonts w:ascii="Times New Roman" w:hAnsi="Times New Roman" w:cs="Times New Roman"/>
          <w:sz w:val="28"/>
          <w:szCs w:val="28"/>
        </w:rPr>
        <w:t>Главный бухгалтер:   _______________________________ (расшифровка подписи)</w:t>
      </w:r>
    </w:p>
    <w:p w:rsidR="001B57F8" w:rsidRPr="0015011D" w:rsidRDefault="007612D2" w:rsidP="000F6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11D">
        <w:rPr>
          <w:rFonts w:ascii="Times New Roman" w:hAnsi="Times New Roman" w:cs="Times New Roman"/>
          <w:sz w:val="24"/>
          <w:szCs w:val="24"/>
        </w:rPr>
        <w:t>(подпись) М.П.</w:t>
      </w:r>
    </w:p>
    <w:sectPr w:rsidR="001B57F8" w:rsidRPr="0015011D" w:rsidSect="000F65C7">
      <w:pgSz w:w="16838" w:h="11905" w:orient="landscape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D2"/>
    <w:rsid w:val="000F65C7"/>
    <w:rsid w:val="0015011D"/>
    <w:rsid w:val="001B57F8"/>
    <w:rsid w:val="00314D40"/>
    <w:rsid w:val="00507CE0"/>
    <w:rsid w:val="00610B04"/>
    <w:rsid w:val="0067107F"/>
    <w:rsid w:val="006D10CB"/>
    <w:rsid w:val="006E7EC2"/>
    <w:rsid w:val="007612D2"/>
    <w:rsid w:val="00A06B49"/>
    <w:rsid w:val="00A22CC2"/>
    <w:rsid w:val="00A50F37"/>
    <w:rsid w:val="00B42D2A"/>
    <w:rsid w:val="00C75853"/>
    <w:rsid w:val="00CA6149"/>
    <w:rsid w:val="00CB2644"/>
    <w:rsid w:val="00CE5B60"/>
    <w:rsid w:val="00DA582E"/>
    <w:rsid w:val="00DF7629"/>
    <w:rsid w:val="00E62CDF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1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1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D2A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D2A"/>
    <w:rPr>
      <w:rFonts w:ascii="Calibri" w:hAnsi="Calibr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2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1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1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D2A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D2A"/>
    <w:rPr>
      <w:rFonts w:ascii="Calibri" w:hAnsi="Calibr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2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BC3E971ADC10F2ED965AD2D72256B70830DDD08733B13649E9C41597a9D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BC3E971ADC10F2ED965AD2D72256B70830DDD28536B13649E9C415979BC5BCA07A4B219F01EE54aFD1L" TargetMode="External"/><Relationship Id="rId5" Type="http://schemas.openxmlformats.org/officeDocument/2006/relationships/hyperlink" Target="consultantplus://offline/ref=88BC3E971ADC10F2ED965AD2D72256B70830DDD0873CB13649E9C41597a9D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Петриковская Наталья Владимировна</dc:creator>
  <cp:lastModifiedBy>User</cp:lastModifiedBy>
  <cp:revision>8</cp:revision>
  <cp:lastPrinted>2019-04-18T05:35:00Z</cp:lastPrinted>
  <dcterms:created xsi:type="dcterms:W3CDTF">2017-10-17T11:03:00Z</dcterms:created>
  <dcterms:modified xsi:type="dcterms:W3CDTF">2019-04-18T05:37:00Z</dcterms:modified>
</cp:coreProperties>
</file>